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F5" w:rsidRPr="00FF5AE5" w:rsidRDefault="000F337D" w:rsidP="000F337D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FF5AE5">
        <w:rPr>
          <w:rFonts w:asciiTheme="minorHAnsi" w:hAnsiTheme="minorHAnsi"/>
          <w:b/>
          <w:sz w:val="28"/>
          <w:szCs w:val="28"/>
        </w:rPr>
        <w:t>Informace k možnosti čerpání dotací v rámci Programu rozvoje venkova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</w:rPr>
        <w:tab/>
      </w:r>
      <w:r w:rsidRPr="00FF5AE5">
        <w:rPr>
          <w:rFonts w:asciiTheme="minorHAnsi" w:hAnsiTheme="minorHAnsi"/>
          <w:sz w:val="22"/>
          <w:szCs w:val="22"/>
        </w:rPr>
        <w:t xml:space="preserve">Ministerstvo zemědělství konečně zpracovalo návrh metodiky </w:t>
      </w:r>
      <w:proofErr w:type="spellStart"/>
      <w:r w:rsidRPr="00FF5AE5">
        <w:rPr>
          <w:rFonts w:asciiTheme="minorHAnsi" w:hAnsiTheme="minorHAnsi"/>
          <w:sz w:val="22"/>
          <w:szCs w:val="22"/>
        </w:rPr>
        <w:t>fichí</w:t>
      </w:r>
      <w:proofErr w:type="spellEnd"/>
      <w:r w:rsidRPr="00FF5AE5">
        <w:rPr>
          <w:rFonts w:asciiTheme="minorHAnsi" w:hAnsiTheme="minorHAnsi"/>
          <w:sz w:val="22"/>
          <w:szCs w:val="22"/>
        </w:rPr>
        <w:t xml:space="preserve"> – opatření), tak aby se dal zpracovat programový rámec pro Strategie MAS. Problém je, že tyto </w:t>
      </w:r>
      <w:proofErr w:type="spellStart"/>
      <w:r w:rsidRPr="00FF5AE5">
        <w:rPr>
          <w:rFonts w:asciiTheme="minorHAnsi" w:hAnsiTheme="minorHAnsi"/>
          <w:sz w:val="22"/>
          <w:szCs w:val="22"/>
        </w:rPr>
        <w:t>fiche</w:t>
      </w:r>
      <w:proofErr w:type="spellEnd"/>
      <w:r w:rsidRPr="00FF5AE5">
        <w:rPr>
          <w:rFonts w:asciiTheme="minorHAnsi" w:hAnsiTheme="minorHAnsi"/>
          <w:sz w:val="22"/>
          <w:szCs w:val="22"/>
        </w:rPr>
        <w:t xml:space="preserve"> představují konkrétní investice přes MAS (to stejné je ale u opatření ostatních operačních programech), kde musí být uveden jako závazný ukazatel počet podniků a na co to půjde. Podle toho se pak musí udělat finanční plán na jednotlivé roky. Podle přidělené alokace máme 75 mil. Kč, tj., při maximálně 50 % ní výši dotace bychom měli mít představu o investicích ve výši 150 mil. Kč pro zemědělce na konkrétní akce. 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</w:p>
    <w:p w:rsidR="000F337D" w:rsidRPr="00FF5AE5" w:rsidRDefault="000F337D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 xml:space="preserve">Oblast podpory v rámci „Investic do zemědělských podniků“ se podle Metodiky pro MAS týká: </w:t>
      </w:r>
    </w:p>
    <w:p w:rsidR="000F337D" w:rsidRPr="00FF5AE5" w:rsidRDefault="000F337D" w:rsidP="00FF5AE5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investic do zemědělských staveb a technologií pro živočišnou a rostlinnou výrobu </w:t>
      </w:r>
      <w:r w:rsidR="00FF5AE5" w:rsidRPr="00FF5AE5">
        <w:rPr>
          <w:rFonts w:asciiTheme="minorHAnsi" w:hAnsiTheme="minorHAnsi"/>
          <w:sz w:val="22"/>
          <w:szCs w:val="22"/>
        </w:rPr>
        <w:t xml:space="preserve">a pro </w:t>
      </w:r>
      <w:r w:rsidR="00072A24" w:rsidRPr="00FF5AE5">
        <w:rPr>
          <w:rFonts w:asciiTheme="minorHAnsi" w:hAnsiTheme="minorHAnsi"/>
          <w:sz w:val="22"/>
          <w:szCs w:val="22"/>
        </w:rPr>
        <w:t>školkařskou produkci</w:t>
      </w:r>
    </w:p>
    <w:p w:rsidR="000F337D" w:rsidRPr="00FF5AE5" w:rsidRDefault="00072A24" w:rsidP="00FF5AE5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p</w:t>
      </w:r>
      <w:r w:rsidR="000F337D" w:rsidRPr="00FF5AE5">
        <w:rPr>
          <w:rFonts w:asciiTheme="minorHAnsi" w:hAnsiTheme="minorHAnsi"/>
          <w:sz w:val="22"/>
          <w:szCs w:val="22"/>
        </w:rPr>
        <w:t xml:space="preserve">odporovány budou též </w:t>
      </w:r>
      <w:r w:rsidR="000F337D" w:rsidRPr="00FF5AE5">
        <w:rPr>
          <w:rFonts w:asciiTheme="minorHAnsi" w:hAnsiTheme="minorHAnsi"/>
          <w:b/>
          <w:sz w:val="22"/>
          <w:szCs w:val="22"/>
        </w:rPr>
        <w:t>investice na pořízení mobilních strojů pro zemědělskou výrobu</w:t>
      </w:r>
      <w:r w:rsidR="000F337D" w:rsidRPr="00FF5AE5">
        <w:rPr>
          <w:rFonts w:asciiTheme="minorHAnsi" w:hAnsiTheme="minorHAnsi"/>
          <w:sz w:val="22"/>
          <w:szCs w:val="22"/>
        </w:rPr>
        <w:t xml:space="preserve"> a investice do pořízení paletovacího zařízení pro vlastní spotřebu v zemědělském podniku (doslovné znění Metodiky) 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</w:p>
    <w:p w:rsidR="000F337D" w:rsidRPr="00FF5AE5" w:rsidRDefault="000F337D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 xml:space="preserve">Zpracování a uvádění na trh zemědělských produktů: </w:t>
      </w:r>
    </w:p>
    <w:p w:rsidR="00072A24" w:rsidRPr="00FF5AE5" w:rsidRDefault="00072A24" w:rsidP="00072A24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podpora zahrnuje hmotné a nehmotné investice, které se týkají zpracování zemědělských produktů a jejich uvádění na trh,</w:t>
      </w:r>
    </w:p>
    <w:p w:rsidR="000F337D" w:rsidRPr="00FF5AE5" w:rsidRDefault="000F337D" w:rsidP="00072A24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investice do výstavby a rekonstrukce budov včetně nezbytných manipulačních ploch, pořízení strojů, nástrojů a zařízení pro zpracování zemědělských produktů, finální úpravu, balení, značení výrobků a investic související se skladováním zpracovávané suroviny, výrobků a druhotných surovin vznikajících při zpracování</w:t>
      </w:r>
      <w:r w:rsidR="0092679B" w:rsidRPr="00FF5AE5">
        <w:rPr>
          <w:rFonts w:asciiTheme="minorHAnsi" w:hAnsiTheme="minorHAnsi"/>
          <w:sz w:val="22"/>
          <w:szCs w:val="22"/>
        </w:rPr>
        <w:t>,</w:t>
      </w:r>
      <w:r w:rsidRPr="00FF5AE5">
        <w:rPr>
          <w:rFonts w:asciiTheme="minorHAnsi" w:hAnsiTheme="minorHAnsi"/>
          <w:sz w:val="22"/>
          <w:szCs w:val="22"/>
        </w:rPr>
        <w:t xml:space="preserve"> </w:t>
      </w:r>
    </w:p>
    <w:p w:rsidR="0092679B" w:rsidRPr="00FF5AE5" w:rsidRDefault="000F337D" w:rsidP="0092679B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investice </w:t>
      </w:r>
      <w:r w:rsidR="00072A24" w:rsidRPr="00FF5AE5">
        <w:rPr>
          <w:rFonts w:asciiTheme="minorHAnsi" w:hAnsiTheme="minorHAnsi"/>
          <w:sz w:val="22"/>
          <w:szCs w:val="22"/>
        </w:rPr>
        <w:t xml:space="preserve">vedoucí ke zvyšování a monitorování kvality produktů </w:t>
      </w:r>
      <w:r w:rsidR="0092679B" w:rsidRPr="00FF5AE5">
        <w:rPr>
          <w:rFonts w:asciiTheme="minorHAnsi" w:hAnsiTheme="minorHAnsi"/>
          <w:sz w:val="22"/>
          <w:szCs w:val="22"/>
        </w:rPr>
        <w:t xml:space="preserve">a s uváděním zemědělských a potravinářských produktů na trh (včetně investic </w:t>
      </w:r>
      <w:r w:rsidRPr="00FF5AE5">
        <w:rPr>
          <w:rFonts w:asciiTheme="minorHAnsi" w:hAnsiTheme="minorHAnsi"/>
          <w:sz w:val="22"/>
          <w:szCs w:val="22"/>
        </w:rPr>
        <w:t>do marketingu</w:t>
      </w:r>
      <w:r w:rsidR="0092679B" w:rsidRPr="00FF5AE5">
        <w:rPr>
          <w:rFonts w:asciiTheme="minorHAnsi" w:hAnsiTheme="minorHAnsi"/>
          <w:sz w:val="22"/>
          <w:szCs w:val="22"/>
        </w:rPr>
        <w:t xml:space="preserve">), </w:t>
      </w:r>
    </w:p>
    <w:p w:rsidR="000F337D" w:rsidRPr="00FF5AE5" w:rsidRDefault="000F337D" w:rsidP="0092679B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zařízení čištění odpadních vod ve zpracovatelském provozu. 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 </w:t>
      </w:r>
    </w:p>
    <w:p w:rsidR="000F337D" w:rsidRPr="00FF5AE5" w:rsidRDefault="000F337D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 xml:space="preserve">Podpora investic na založení nebo rozvoj nezemědělských činností </w:t>
      </w:r>
    </w:p>
    <w:p w:rsidR="000F337D" w:rsidRPr="00FF5AE5" w:rsidRDefault="000F337D" w:rsidP="00FF5AE5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definice příjemců je: podnikatelské subjekty (FO a PO) – </w:t>
      </w:r>
      <w:proofErr w:type="spellStart"/>
      <w:r w:rsidRPr="00FF5AE5">
        <w:rPr>
          <w:rFonts w:asciiTheme="minorHAnsi" w:hAnsiTheme="minorHAnsi"/>
          <w:sz w:val="22"/>
          <w:szCs w:val="22"/>
        </w:rPr>
        <w:t>mikropodniky</w:t>
      </w:r>
      <w:proofErr w:type="spellEnd"/>
      <w:r w:rsidRPr="00FF5AE5">
        <w:rPr>
          <w:rFonts w:asciiTheme="minorHAnsi" w:hAnsiTheme="minorHAnsi"/>
          <w:sz w:val="22"/>
          <w:szCs w:val="22"/>
        </w:rPr>
        <w:t xml:space="preserve"> a malé podniky ve venkovských oblastí, jakož i zemědělci (tzn. mohou se zapojit i nezemědělci!)</w:t>
      </w:r>
    </w:p>
    <w:p w:rsidR="000F337D" w:rsidRPr="00FF5AE5" w:rsidRDefault="000F337D" w:rsidP="00FF5AE5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stravování a pohostinství mohou být realizovány pouze ve vazbě na venkovskou turistiku a ubytovací kapacitu.  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 </w:t>
      </w:r>
    </w:p>
    <w:p w:rsidR="000F337D" w:rsidRPr="00FF5AE5" w:rsidRDefault="000F337D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 xml:space="preserve">Lesnická infrastruktura </w:t>
      </w:r>
      <w:r w:rsidR="00072A24" w:rsidRPr="00FF5AE5">
        <w:rPr>
          <w:rFonts w:asciiTheme="minorHAnsi" w:hAnsiTheme="minorHAnsi"/>
          <w:b/>
          <w:sz w:val="22"/>
          <w:szCs w:val="22"/>
        </w:rPr>
        <w:t>(pro informaci)</w:t>
      </w:r>
    </w:p>
    <w:p w:rsidR="000F337D" w:rsidRPr="00FF5AE5" w:rsidRDefault="000F337D" w:rsidP="00FF5AE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 xml:space="preserve">rekonstrukce a budování lesních cest </w:t>
      </w:r>
    </w:p>
    <w:p w:rsidR="000F337D" w:rsidRPr="00FF5AE5" w:rsidRDefault="000F337D" w:rsidP="00FF5AE5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investice do lesnických technologií a zpracován</w:t>
      </w:r>
      <w:r w:rsidR="00FF5AE5" w:rsidRPr="00FF5AE5">
        <w:rPr>
          <w:rFonts w:asciiTheme="minorHAnsi" w:hAnsiTheme="minorHAnsi"/>
          <w:sz w:val="22"/>
          <w:szCs w:val="22"/>
        </w:rPr>
        <w:t xml:space="preserve">í lesnických produktů, jejich </w:t>
      </w:r>
      <w:r w:rsidRPr="00FF5AE5">
        <w:rPr>
          <w:rFonts w:asciiTheme="minorHAnsi" w:hAnsiTheme="minorHAnsi"/>
          <w:sz w:val="22"/>
          <w:szCs w:val="22"/>
        </w:rPr>
        <w:t xml:space="preserve">mobilizace a uvádění na trh </w:t>
      </w:r>
    </w:p>
    <w:p w:rsidR="000F337D" w:rsidRPr="00FF5AE5" w:rsidRDefault="000F337D" w:rsidP="000F337D">
      <w:pPr>
        <w:jc w:val="both"/>
        <w:rPr>
          <w:rFonts w:asciiTheme="minorHAnsi" w:hAnsiTheme="minorHAnsi"/>
          <w:sz w:val="22"/>
          <w:szCs w:val="22"/>
        </w:rPr>
      </w:pPr>
      <w:r w:rsidRPr="00FF5AE5">
        <w:rPr>
          <w:rFonts w:asciiTheme="minorHAnsi" w:hAnsiTheme="minorHAnsi"/>
          <w:sz w:val="22"/>
          <w:szCs w:val="22"/>
        </w:rPr>
        <w:t> </w:t>
      </w:r>
    </w:p>
    <w:p w:rsidR="00CE5CEB" w:rsidRPr="00FF5AE5" w:rsidRDefault="000F337D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>Takže podle Metodiky není omezení na mobilní stroje (tj. i traktory)</w:t>
      </w:r>
      <w:r w:rsidR="0092679B" w:rsidRPr="00FF5AE5">
        <w:rPr>
          <w:rFonts w:asciiTheme="minorHAnsi" w:hAnsiTheme="minorHAnsi"/>
          <w:b/>
          <w:sz w:val="22"/>
          <w:szCs w:val="22"/>
        </w:rPr>
        <w:t>,</w:t>
      </w:r>
      <w:r w:rsidRPr="00FF5AE5">
        <w:rPr>
          <w:rFonts w:asciiTheme="minorHAnsi" w:hAnsiTheme="minorHAnsi"/>
          <w:b/>
          <w:sz w:val="22"/>
          <w:szCs w:val="22"/>
        </w:rPr>
        <w:t xml:space="preserve"> diverzifikace je otevřena i nezemědělským podnikatelům</w:t>
      </w:r>
      <w:r w:rsidR="0092679B" w:rsidRPr="00FF5AE5">
        <w:rPr>
          <w:rFonts w:asciiTheme="minorHAnsi" w:hAnsiTheme="minorHAnsi"/>
          <w:b/>
          <w:sz w:val="22"/>
          <w:szCs w:val="22"/>
        </w:rPr>
        <w:t xml:space="preserve"> (drobná řemesla v obci a služby)</w:t>
      </w:r>
      <w:r w:rsidRPr="00FF5AE5">
        <w:rPr>
          <w:rFonts w:asciiTheme="minorHAnsi" w:hAnsiTheme="minorHAnsi"/>
          <w:b/>
          <w:sz w:val="22"/>
          <w:szCs w:val="22"/>
        </w:rPr>
        <w:t xml:space="preserve">. </w:t>
      </w:r>
    </w:p>
    <w:p w:rsidR="000F337D" w:rsidRPr="00FF5AE5" w:rsidRDefault="0092679B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 xml:space="preserve">Potřebujeme od vás požadavky na konkrétní technologie (investice), odhadovanou výši nákladů a ve členění na jednotlivé roky (2016-2022). Je to velmi důležité pro čerpání dotací, pokud nebudou vaše potřeby ve Strategii MAS zapracovány, nebude je možné do roku 2023 uplatňovat!!  Výhodou uplatnění </w:t>
      </w:r>
      <w:r w:rsidR="002A73FC" w:rsidRPr="00FF5AE5">
        <w:rPr>
          <w:rFonts w:asciiTheme="minorHAnsi" w:hAnsiTheme="minorHAnsi"/>
          <w:b/>
          <w:sz w:val="22"/>
          <w:szCs w:val="22"/>
        </w:rPr>
        <w:t xml:space="preserve">investic prostřednictvím </w:t>
      </w:r>
      <w:r w:rsidRPr="00FF5AE5">
        <w:rPr>
          <w:rFonts w:asciiTheme="minorHAnsi" w:hAnsiTheme="minorHAnsi"/>
          <w:b/>
          <w:sz w:val="22"/>
          <w:szCs w:val="22"/>
        </w:rPr>
        <w:t>MAS</w:t>
      </w:r>
      <w:r w:rsidR="002A73FC" w:rsidRPr="00FF5AE5">
        <w:rPr>
          <w:rFonts w:asciiTheme="minorHAnsi" w:hAnsiTheme="minorHAnsi"/>
          <w:b/>
          <w:sz w:val="22"/>
          <w:szCs w:val="22"/>
        </w:rPr>
        <w:t xml:space="preserve"> je skutečnost, že při schválení Strategie MAS Pošumaví jsou tyto prostředky skutečně k dispozici.</w:t>
      </w:r>
    </w:p>
    <w:p w:rsidR="002A73FC" w:rsidRPr="00FF5AE5" w:rsidRDefault="002A73FC" w:rsidP="000F337D">
      <w:pPr>
        <w:jc w:val="both"/>
        <w:rPr>
          <w:rFonts w:asciiTheme="minorHAnsi" w:hAnsiTheme="minorHAnsi"/>
          <w:b/>
          <w:sz w:val="22"/>
          <w:szCs w:val="22"/>
        </w:rPr>
      </w:pPr>
    </w:p>
    <w:p w:rsidR="000F337D" w:rsidRPr="00FF5AE5" w:rsidRDefault="002A73FC" w:rsidP="000F337D">
      <w:pPr>
        <w:jc w:val="both"/>
        <w:rPr>
          <w:rFonts w:asciiTheme="minorHAnsi" w:hAnsiTheme="minorHAnsi"/>
          <w:b/>
          <w:sz w:val="22"/>
          <w:szCs w:val="22"/>
        </w:rPr>
      </w:pPr>
      <w:r w:rsidRPr="00FF5AE5">
        <w:rPr>
          <w:rFonts w:asciiTheme="minorHAnsi" w:hAnsiTheme="minorHAnsi"/>
          <w:b/>
          <w:sz w:val="22"/>
          <w:szCs w:val="22"/>
        </w:rPr>
        <w:t>Podrobnější informace vám rádi sdělíme na adrese</w:t>
      </w:r>
      <w:r w:rsidR="00FF5AE5" w:rsidRPr="00FF5AE5">
        <w:rPr>
          <w:rFonts w:asciiTheme="minorHAnsi" w:hAnsiTheme="minorHAnsi"/>
          <w:b/>
          <w:sz w:val="22"/>
          <w:szCs w:val="22"/>
        </w:rPr>
        <w:t xml:space="preserve"> kanceláře MAS Pošumaví nebo na emailu </w:t>
      </w:r>
      <w:hyperlink r:id="rId5" w:history="1">
        <w:r w:rsidR="00FF5AE5" w:rsidRPr="00FF5AE5">
          <w:rPr>
            <w:rStyle w:val="Hypertextovodkaz"/>
            <w:rFonts w:asciiTheme="minorHAnsi" w:hAnsiTheme="minorHAnsi"/>
            <w:b/>
            <w:sz w:val="22"/>
            <w:szCs w:val="22"/>
          </w:rPr>
          <w:t>strategie@posumavi.jz.cz</w:t>
        </w:r>
      </w:hyperlink>
      <w:r w:rsidR="00FF5AE5" w:rsidRPr="00FF5AE5">
        <w:rPr>
          <w:rFonts w:asciiTheme="minorHAnsi" w:hAnsiTheme="minorHAnsi"/>
          <w:b/>
          <w:sz w:val="22"/>
          <w:szCs w:val="22"/>
        </w:rPr>
        <w:t xml:space="preserve">. </w:t>
      </w:r>
    </w:p>
    <w:p w:rsidR="00FF5AE5" w:rsidRPr="000F337D" w:rsidRDefault="00FF5AE5" w:rsidP="000F337D">
      <w:pPr>
        <w:jc w:val="both"/>
      </w:pPr>
    </w:p>
    <w:sectPr w:rsidR="00FF5AE5" w:rsidRPr="000F337D" w:rsidSect="004B3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8D3"/>
    <w:multiLevelType w:val="hybridMultilevel"/>
    <w:tmpl w:val="5DCE2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0AB9"/>
    <w:multiLevelType w:val="hybridMultilevel"/>
    <w:tmpl w:val="B4DCF876"/>
    <w:lvl w:ilvl="0" w:tplc="80CA6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788A"/>
    <w:multiLevelType w:val="hybridMultilevel"/>
    <w:tmpl w:val="27E01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22D9E"/>
    <w:multiLevelType w:val="hybridMultilevel"/>
    <w:tmpl w:val="F00CB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660A"/>
    <w:multiLevelType w:val="hybridMultilevel"/>
    <w:tmpl w:val="397E24C8"/>
    <w:lvl w:ilvl="0" w:tplc="0405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7D"/>
    <w:rsid w:val="00072A24"/>
    <w:rsid w:val="000F337D"/>
    <w:rsid w:val="002A73FC"/>
    <w:rsid w:val="003A56FA"/>
    <w:rsid w:val="004B30E9"/>
    <w:rsid w:val="0092679B"/>
    <w:rsid w:val="00C466F5"/>
    <w:rsid w:val="00CE5CEB"/>
    <w:rsid w:val="00F404DD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6C036-7E94-4BC5-8157-451597E1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3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337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72A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F5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ie@posumavi.j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Jakobe</dc:creator>
  <cp:lastModifiedBy>Edita</cp:lastModifiedBy>
  <cp:revision>2</cp:revision>
  <dcterms:created xsi:type="dcterms:W3CDTF">2016-04-08T08:43:00Z</dcterms:created>
  <dcterms:modified xsi:type="dcterms:W3CDTF">2016-04-08T08:43:00Z</dcterms:modified>
</cp:coreProperties>
</file>