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D736" w14:textId="77777777" w:rsidR="0042404B" w:rsidRDefault="0042404B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BCB11B3" w14:textId="77777777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1872ED20" w14:textId="507E19A6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3332F0">
        <w:rPr>
          <w:rFonts w:ascii="Calibri" w:hAnsi="Calibri" w:cs="Calibri"/>
          <w:b/>
          <w:sz w:val="28"/>
          <w:szCs w:val="28"/>
        </w:rPr>
        <w:t>14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0BFFAA16" w14:textId="1ADD4D83" w:rsidR="00211D24" w:rsidRPr="00EB18AC" w:rsidRDefault="007B044C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7B044C">
        <w:rPr>
          <w:rFonts w:ascii="Calibri" w:hAnsi="Calibri" w:cs="Calibri"/>
          <w:b/>
          <w:smallCaps/>
          <w:sz w:val="28"/>
          <w:szCs w:val="28"/>
        </w:rPr>
        <w:t xml:space="preserve">„MAS Pošumaví – IROP – </w:t>
      </w:r>
      <w:r w:rsidR="00DB52EB">
        <w:rPr>
          <w:rFonts w:ascii="Calibri" w:hAnsi="Calibri" w:cs="Calibri"/>
          <w:b/>
          <w:smallCaps/>
          <w:sz w:val="28"/>
          <w:szCs w:val="28"/>
        </w:rPr>
        <w:t>Veřejná prostranství</w:t>
      </w:r>
      <w:r w:rsidR="003332F0">
        <w:rPr>
          <w:rFonts w:ascii="Calibri" w:hAnsi="Calibri" w:cs="Calibri"/>
          <w:b/>
          <w:smallCaps/>
          <w:sz w:val="28"/>
          <w:szCs w:val="28"/>
        </w:rPr>
        <w:t xml:space="preserve"> II</w:t>
      </w:r>
      <w:r w:rsidRPr="007B044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6A2CD014" w14:textId="77777777" w:rsidR="00C97923" w:rsidRDefault="00211D24" w:rsidP="00BF17FA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6B6A03" w:rsidRPr="006B6A03">
        <w:rPr>
          <w:rFonts w:ascii="Calibri" w:hAnsi="Calibri" w:cs="Calibri"/>
          <w:b/>
          <w:smallCaps/>
          <w:sz w:val="28"/>
          <w:szCs w:val="28"/>
        </w:rPr>
        <w:t xml:space="preserve">73. výzva </w:t>
      </w:r>
      <w:proofErr w:type="gramStart"/>
      <w:r w:rsidR="006B6A03" w:rsidRPr="006B6A03">
        <w:rPr>
          <w:rFonts w:ascii="Calibri" w:hAnsi="Calibri" w:cs="Calibri"/>
          <w:b/>
          <w:smallCaps/>
          <w:sz w:val="28"/>
          <w:szCs w:val="28"/>
        </w:rPr>
        <w:t>IROP - Veřejná</w:t>
      </w:r>
      <w:proofErr w:type="gramEnd"/>
      <w:r w:rsidR="006B6A03" w:rsidRPr="006B6A03">
        <w:rPr>
          <w:rFonts w:ascii="Calibri" w:hAnsi="Calibri" w:cs="Calibri"/>
          <w:b/>
          <w:smallCaps/>
          <w:sz w:val="28"/>
          <w:szCs w:val="28"/>
        </w:rPr>
        <w:t xml:space="preserve"> prostranství - SC 5.1 (CLLD)</w:t>
      </w:r>
    </w:p>
    <w:p w14:paraId="5437710C" w14:textId="77777777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F8B4C5" w14:textId="77777777" w:rsidR="00211D24" w:rsidRDefault="00211D24" w:rsidP="00211D24">
      <w:pPr>
        <w:jc w:val="both"/>
      </w:pPr>
      <w:r>
        <w:t>Žadatel musí vyplnit všechny požadované údaje.</w:t>
      </w:r>
    </w:p>
    <w:p w14:paraId="793BDA7B" w14:textId="77777777" w:rsidR="00211D24" w:rsidRDefault="00211D24" w:rsidP="00211D24">
      <w:pPr>
        <w:jc w:val="both"/>
      </w:pPr>
      <w:r>
        <w:t xml:space="preserve">V rámci MAS bude nejprve ze strany kanceláře MAS </w:t>
      </w:r>
      <w:r w:rsidR="007B044C">
        <w:t>Pošumaví</w:t>
      </w:r>
      <w:r>
        <w:t xml:space="preserve"> provedena administrativní kontrola. Věcné hodnocení záměrů provádí Výběrová komise MAS </w:t>
      </w:r>
      <w:r w:rsidR="007B044C">
        <w:t>Pošumaví</w:t>
      </w:r>
      <w:r>
        <w:t xml:space="preserve"> jakožto výběrový orgán. Programový výbor MAS </w:t>
      </w:r>
      <w:r w:rsidR="007B044C">
        <w:t>Pošumaví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</w:t>
      </w:r>
      <w:proofErr w:type="gramStart"/>
      <w:r>
        <w:t>MAS</w:t>
      </w:r>
      <w:proofErr w:type="gramEnd"/>
      <w:r>
        <w:t xml:space="preserve"> </w:t>
      </w:r>
      <w:r w:rsidR="007B044C">
        <w:t>Pošumaví</w:t>
      </w:r>
      <w:r>
        <w:t>. Toto vyjádření je povinnou součástí žádosti o podporu, kterou nositelé vybraných záměrů následně zpracují v MS21+.</w:t>
      </w:r>
    </w:p>
    <w:p w14:paraId="30AC763B" w14:textId="77777777" w:rsidR="00590FDD" w:rsidRDefault="00590FDD" w:rsidP="00590FDD">
      <w:pPr>
        <w:jc w:val="both"/>
      </w:pPr>
      <w:r>
        <w:t xml:space="preserve">Postup hodnocení záměrů je uveden v Interních postupech MAS Pošumaví „Interní postupy IROP </w:t>
      </w:r>
      <w:proofErr w:type="gramStart"/>
      <w:r>
        <w:t>2021 – 2027</w:t>
      </w:r>
      <w:proofErr w:type="gramEnd"/>
      <w:r>
        <w:t xml:space="preserve"> MAS POŠUMAVÍ, z.s.“. Směrnice je zveřejněna na: </w:t>
      </w:r>
      <w:r w:rsidRPr="007B044C">
        <w:t>http://www.masposumavi.cz/o-nas-1/stanovy-vnitrni-predpisy/vnitrni-predpisy/</w:t>
      </w:r>
      <w:r>
        <w:t>.</w:t>
      </w:r>
    </w:p>
    <w:p w14:paraId="245707CD" w14:textId="77777777" w:rsidR="00211D24" w:rsidRDefault="00211D24" w:rsidP="00211D24">
      <w:pPr>
        <w:jc w:val="both"/>
      </w:pPr>
      <w:r>
        <w:t xml:space="preserve">Po výběru projektových záměrů ze strany MAS následuje podání žádosti o podporu do </w:t>
      </w:r>
      <w:r w:rsidRPr="00377ED7">
        <w:t xml:space="preserve">výzvy č. </w:t>
      </w:r>
      <w:r w:rsidR="006B6A03">
        <w:t>73</w:t>
      </w:r>
      <w:r>
        <w:t xml:space="preserve"> IROP, a to prostřednictvím MS</w:t>
      </w:r>
      <w:r w:rsidR="007B044C">
        <w:t>20</w:t>
      </w:r>
      <w:r>
        <w:t xml:space="preserve">21+. Hodnocení žádostí o podporu je v kompetenci Centra pro regionální rozvoj (CRR). </w:t>
      </w:r>
    </w:p>
    <w:p w14:paraId="39D314D8" w14:textId="77777777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Pr="00377ED7">
        <w:t xml:space="preserve">č. </w:t>
      </w:r>
      <w:r w:rsidR="006B6A03">
        <w:t>73</w:t>
      </w:r>
      <w:r w:rsidRPr="00377ED7">
        <w:t xml:space="preserve"> IROP</w:t>
      </w:r>
      <w:r>
        <w:t xml:space="preserve"> (vždy v aktuálním znění).</w:t>
      </w:r>
    </w:p>
    <w:p w14:paraId="71D38658" w14:textId="08ED0FAE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6B6A03" w:rsidRPr="00212452">
          <w:rPr>
            <w:rStyle w:val="Hypertextovodkaz"/>
          </w:rPr>
          <w:t>https://irop.gov.cz/cs/vyzvy-2021-2027/vyzvy/73vyzvairop</w:t>
        </w:r>
      </w:hyperlink>
      <w:r w:rsidR="003332F0">
        <w:t>.</w:t>
      </w:r>
    </w:p>
    <w:p w14:paraId="5AD5E30A" w14:textId="77777777" w:rsidR="006B6A03" w:rsidRDefault="006B6A03" w:rsidP="00211D24">
      <w:pPr>
        <w:jc w:val="both"/>
      </w:pPr>
    </w:p>
    <w:p w14:paraId="5A73E740" w14:textId="57DD46A9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r w:rsidR="007B044C">
        <w:t>.</w:t>
      </w:r>
      <w:proofErr w:type="spellStart"/>
      <w:r>
        <w:t>pdf</w:t>
      </w:r>
      <w:proofErr w:type="spellEnd"/>
      <w:r>
        <w:t xml:space="preserve"> opatřený elektronickým podpisem osoby jedna</w:t>
      </w:r>
      <w:r w:rsidR="00E02B49">
        <w:t>cí</w:t>
      </w:r>
      <w:r>
        <w:t xml:space="preserve"> jménem žadatele (nebo osob zmocněných na základě plné moci) a relevantní přílohy je nutné zaslat na e-mail: </w:t>
      </w:r>
      <w:hyperlink r:id="rId12" w:history="1">
        <w:r w:rsidRPr="007B044C">
          <w:rPr>
            <w:rStyle w:val="Hypertextovodkaz"/>
            <w:b/>
            <w:bCs/>
          </w:rPr>
          <w:t>irop@</w:t>
        </w:r>
        <w:r w:rsidR="007B044C" w:rsidRPr="007B044C">
          <w:rPr>
            <w:rStyle w:val="Hypertextovodkaz"/>
            <w:b/>
            <w:bCs/>
          </w:rPr>
          <w:t>masposumavi.cz</w:t>
        </w:r>
      </w:hyperlink>
      <w:r w:rsidR="00AC2D92">
        <w:t>.</w:t>
      </w:r>
    </w:p>
    <w:p w14:paraId="2B7B5C51" w14:textId="77777777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6914FA4" w14:textId="77777777" w:rsidR="00211D24" w:rsidRDefault="00211D24"/>
    <w:p w14:paraId="7FA9139A" w14:textId="77777777" w:rsidR="00211D24" w:rsidRDefault="00211D24">
      <w:r>
        <w:br w:type="page"/>
      </w:r>
    </w:p>
    <w:p w14:paraId="1461F0A9" w14:textId="77777777" w:rsidR="0042404B" w:rsidRDefault="0042404B"/>
    <w:p w14:paraId="0C5A44A9" w14:textId="77777777" w:rsidR="0042404B" w:rsidRDefault="0042404B"/>
    <w:p w14:paraId="7E08C2E2" w14:textId="77777777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0C7F85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312960D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1B752B58" w14:textId="77777777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1F0F2624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6F85062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5D4900B8" w14:textId="77777777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54AD7FDD" w14:textId="420D8FCA" w:rsidR="006E6251" w:rsidRPr="00331076" w:rsidRDefault="00E02B49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02B49">
              <w:rPr>
                <w:rFonts w:cs="Arial"/>
                <w:b/>
                <w:sz w:val="20"/>
                <w:szCs w:val="20"/>
              </w:rPr>
              <w:t>Místní akční skupina P</w:t>
            </w:r>
            <w:r w:rsidR="00252F53">
              <w:rPr>
                <w:rFonts w:cs="Arial"/>
                <w:b/>
                <w:sz w:val="20"/>
                <w:szCs w:val="20"/>
              </w:rPr>
              <w:t>OŠUMAVÍ</w:t>
            </w:r>
            <w:r w:rsidRPr="00E02B49">
              <w:rPr>
                <w:rFonts w:cs="Arial"/>
                <w:b/>
                <w:sz w:val="20"/>
                <w:szCs w:val="20"/>
              </w:rPr>
              <w:t>, zapsaný spolek</w:t>
            </w:r>
          </w:p>
        </w:tc>
      </w:tr>
      <w:tr w:rsidR="006E6251" w:rsidRPr="001C1F58" w14:paraId="51EEFF10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336F94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F0646EE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EDBD107" w14:textId="77777777" w:rsidR="006E6251" w:rsidRPr="00331076" w:rsidRDefault="006B6A03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B6A03">
              <w:rPr>
                <w:sz w:val="20"/>
                <w:szCs w:val="20"/>
              </w:rPr>
              <w:t>4.1.2: Revitalizace a vybavení veřejných budov, prostranství a brownfieldů a rozvoj bydlení k zamezení odlivu obyvatel z Pošumaví</w:t>
            </w:r>
          </w:p>
        </w:tc>
      </w:tr>
      <w:tr w:rsidR="006E6251" w:rsidRPr="001C1F58" w14:paraId="077E683D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8BBFD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EE6C4D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196682" w14:textId="77777777" w:rsidR="006E6251" w:rsidRPr="00331076" w:rsidRDefault="006B6A03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B6A03">
              <w:rPr>
                <w:sz w:val="20"/>
                <w:szCs w:val="20"/>
              </w:rPr>
              <w:t xml:space="preserve">73. VÝZVA </w:t>
            </w:r>
            <w:proofErr w:type="gramStart"/>
            <w:r w:rsidRPr="006B6A03">
              <w:rPr>
                <w:sz w:val="20"/>
                <w:szCs w:val="20"/>
              </w:rPr>
              <w:t>IROP - VEŘEJNÁ</w:t>
            </w:r>
            <w:proofErr w:type="gramEnd"/>
            <w:r w:rsidRPr="006B6A03">
              <w:rPr>
                <w:sz w:val="20"/>
                <w:szCs w:val="20"/>
              </w:rPr>
              <w:t xml:space="preserve"> PROSTRANSTVÍ - SC 5.1 (CLLD)</w:t>
            </w:r>
          </w:p>
        </w:tc>
      </w:tr>
      <w:tr w:rsidR="006E6251" w:rsidRPr="001C1F58" w14:paraId="6459131C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771ABE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D6CAC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F9F10ED" w14:textId="3EA63286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3332F0">
              <w:rPr>
                <w:rFonts w:cs="Arial"/>
                <w:bCs/>
                <w:sz w:val="20"/>
                <w:szCs w:val="20"/>
              </w:rPr>
              <w:t>1</w:t>
            </w:r>
            <w:r w:rsidR="006B6A03">
              <w:rPr>
                <w:rFonts w:cs="Arial"/>
                <w:bCs/>
                <w:sz w:val="20"/>
                <w:szCs w:val="20"/>
              </w:rPr>
              <w:t>4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7B044C">
              <w:rPr>
                <w:rFonts w:cs="Arial"/>
                <w:bCs/>
                <w:sz w:val="20"/>
                <w:szCs w:val="20"/>
              </w:rPr>
              <w:t>Pošumaví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</w:t>
            </w:r>
            <w:r w:rsidR="006B6A03">
              <w:rPr>
                <w:rFonts w:cs="Arial"/>
                <w:bCs/>
                <w:sz w:val="20"/>
                <w:szCs w:val="20"/>
              </w:rPr>
              <w:t xml:space="preserve"> Veřejná prostranství</w:t>
            </w:r>
            <w:r w:rsidR="003332F0">
              <w:rPr>
                <w:rFonts w:cs="Arial"/>
                <w:bCs/>
                <w:sz w:val="20"/>
                <w:szCs w:val="20"/>
              </w:rPr>
              <w:t xml:space="preserve"> II</w:t>
            </w:r>
          </w:p>
        </w:tc>
      </w:tr>
      <w:tr w:rsidR="00991E7D" w:rsidRPr="001C1F58" w14:paraId="5FB13189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83F1028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5BB974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77E678B2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2B61D04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BC62BC3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C89AD41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C89983" w14:textId="732825B8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492DA0B2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F8407FB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73306BE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2B9689B5" w14:textId="663BF47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0B2244E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67AB27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C1E5FD7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44FB3D1" w14:textId="251E2D0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4F7A3E7F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D2793D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5F47DE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2C54E24C" w14:textId="5EABEF8C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D0CD2B6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FBC7384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BA85F94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25677554" w14:textId="0511C3F3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FC56A0" w14:textId="77777777" w:rsidR="00991E7D" w:rsidRDefault="00991E7D" w:rsidP="00991E7D">
      <w:pPr>
        <w:rPr>
          <w:b/>
        </w:rPr>
      </w:pPr>
    </w:p>
    <w:p w14:paraId="4E940F0B" w14:textId="77777777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46E8E112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1E77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67418EE7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0F5584" w14:textId="77777777" w:rsidR="00991E7D" w:rsidRPr="00BF17FA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 Váš projekt a podporované aktivity. Aktivity musí být v </w:t>
            </w:r>
            <w:r w:rsidRPr="00BF17FA">
              <w:rPr>
                <w:color w:val="FF0000"/>
                <w:sz w:val="20"/>
                <w:szCs w:val="20"/>
              </w:rPr>
              <w:t xml:space="preserve">souladu </w:t>
            </w:r>
            <w:proofErr w:type="gramStart"/>
            <w:r w:rsidRPr="00BF17FA">
              <w:rPr>
                <w:color w:val="FF0000"/>
                <w:sz w:val="20"/>
                <w:szCs w:val="20"/>
              </w:rPr>
              <w:t>s</w:t>
            </w:r>
            <w:r w:rsidR="00BF17FA" w:rsidRPr="00BF17FA">
              <w:rPr>
                <w:color w:val="FF0000"/>
                <w:sz w:val="20"/>
                <w:szCs w:val="20"/>
              </w:rPr>
              <w:t xml:space="preserve"> </w:t>
            </w:r>
            <w:r w:rsidRPr="00BF17FA">
              <w:rPr>
                <w:color w:val="FF0000"/>
                <w:sz w:val="20"/>
                <w:szCs w:val="20"/>
              </w:rPr>
              <w:t xml:space="preserve"> </w:t>
            </w:r>
            <w:r w:rsidR="006B6A03" w:rsidRPr="006B6A03">
              <w:rPr>
                <w:color w:val="FF0000"/>
                <w:sz w:val="20"/>
                <w:szCs w:val="20"/>
              </w:rPr>
              <w:t>73.</w:t>
            </w:r>
            <w:proofErr w:type="gramEnd"/>
            <w:r w:rsidR="006B6A03" w:rsidRPr="006B6A03">
              <w:rPr>
                <w:color w:val="FF0000"/>
                <w:sz w:val="20"/>
                <w:szCs w:val="20"/>
              </w:rPr>
              <w:t xml:space="preserve"> </w:t>
            </w:r>
            <w:r w:rsidR="006B6A03">
              <w:rPr>
                <w:color w:val="FF0000"/>
                <w:sz w:val="20"/>
                <w:szCs w:val="20"/>
              </w:rPr>
              <w:t>výzvou</w:t>
            </w:r>
            <w:r w:rsidR="006B6A03" w:rsidRPr="006B6A03">
              <w:rPr>
                <w:color w:val="FF0000"/>
                <w:sz w:val="20"/>
                <w:szCs w:val="20"/>
              </w:rPr>
              <w:t xml:space="preserve"> IROP - VEŘEJNÁ PROSTRANSTVÍ - SC 5.1 (CLLD)</w:t>
            </w:r>
            <w:r w:rsidRPr="00BF17FA">
              <w:rPr>
                <w:color w:val="FF0000"/>
                <w:sz w:val="20"/>
                <w:szCs w:val="20"/>
              </w:rPr>
              <w:t xml:space="preserve"> a specifickými pravidly této výzvy. </w:t>
            </w:r>
          </w:p>
          <w:p w14:paraId="3A508AF6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3EEFC952" w14:textId="77777777" w:rsidR="00446298" w:rsidRDefault="00446298" w:rsidP="00755FF3">
            <w:pPr>
              <w:rPr>
                <w:sz w:val="20"/>
                <w:szCs w:val="20"/>
              </w:rPr>
            </w:pPr>
          </w:p>
          <w:p w14:paraId="100B3359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3A0A76A6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3E769BBE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629260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142DAD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3B94123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A5C99E" w14:textId="77777777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2A3486D8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3C25DB25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1354E9A5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8B1C436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8AC4EE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7B06B866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C13F15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4E9DDF05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961FE9D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F71C7B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CF5B6DC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DD1ED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30C465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75070F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199CD572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0B527CB" w14:textId="77777777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2D04676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682FF3" w14:textId="72DD2F33" w:rsidR="000E22D9" w:rsidRPr="00252F53" w:rsidRDefault="000E22D9" w:rsidP="00991E7D">
            <w:pPr>
              <w:rPr>
                <w:b/>
                <w:bCs/>
              </w:rPr>
            </w:pPr>
            <w:r w:rsidRPr="00252F53">
              <w:rPr>
                <w:b/>
                <w:bCs/>
              </w:rPr>
              <w:t>Počet obyvatel obce, kde jej projekt realizován (k 1. 1. 202</w:t>
            </w:r>
            <w:r w:rsidR="003332F0" w:rsidRPr="00252F53">
              <w:rPr>
                <w:b/>
                <w:bCs/>
              </w:rPr>
              <w:t>5</w:t>
            </w:r>
            <w:r w:rsidRPr="00252F53">
              <w:rPr>
                <w:b/>
                <w:bCs/>
              </w:rPr>
              <w:t>):</w:t>
            </w:r>
          </w:p>
        </w:tc>
      </w:tr>
      <w:tr w:rsidR="000E22D9" w:rsidRPr="00586900" w14:paraId="1CBC5B3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FEAF82" w14:textId="29301134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  <w:r w:rsidR="0003636B">
              <w:rPr>
                <w:color w:val="FF0000"/>
                <w:sz w:val="20"/>
                <w:szCs w:val="20"/>
              </w:rPr>
              <w:t xml:space="preserve"> dle </w:t>
            </w:r>
            <w:hyperlink r:id="rId13" w:tooltip="Po kliknutí se otevře webová stránka ČSÚ - počet obyvatel v obcích k 1.1.2025" w:history="1">
              <w:r w:rsidR="003332F0" w:rsidRPr="003332F0">
                <w:rPr>
                  <w:rStyle w:val="Hypertextovodkaz"/>
                </w:rPr>
                <w:t>https://csu.gov.cz/produkty/pocet-obyvatel-v-obcich-rlm0s92pwn</w:t>
              </w:r>
            </w:hyperlink>
          </w:p>
          <w:p w14:paraId="719FDBB3" w14:textId="77777777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6D703A58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030F57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1B3F1CB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B3597" w14:textId="77777777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5DC35C7F" w14:textId="13C1AC0F" w:rsidR="000B7F1D" w:rsidRPr="00E564E1" w:rsidRDefault="000B7F1D" w:rsidP="000B7F1D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eastAsiaTheme="majorEastAsia" w:cstheme="minorHAnsi"/>
                <w:color w:val="FF0000"/>
                <w:sz w:val="20"/>
                <w:szCs w:val="20"/>
              </w:rPr>
              <w:t>Dále uveďte,</w:t>
            </w:r>
            <w:r w:rsidRPr="00E564E1">
              <w:rPr>
                <w:rFonts w:eastAsiaTheme="majorEastAsia" w:cstheme="minorHAnsi"/>
                <w:color w:val="FF0000"/>
                <w:sz w:val="20"/>
                <w:szCs w:val="20"/>
              </w:rPr>
              <w:t xml:space="preserve"> zdali projekt</w:t>
            </w:r>
            <w:r w:rsidRPr="00E564E1">
              <w:rPr>
                <w:rFonts w:cstheme="minorHAnsi"/>
                <w:color w:val="FF0000"/>
                <w:sz w:val="20"/>
                <w:szCs w:val="20"/>
              </w:rPr>
              <w:t xml:space="preserve"> má ke dni podání do výzvy MAS Pošumaví: </w:t>
            </w:r>
          </w:p>
          <w:p w14:paraId="2AC0697A" w14:textId="77777777" w:rsidR="000B7F1D" w:rsidRPr="00E564E1" w:rsidRDefault="000B7F1D" w:rsidP="000B7F1D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E564E1">
              <w:rPr>
                <w:rFonts w:cstheme="minorHAnsi"/>
                <w:color w:val="FF0000"/>
                <w:sz w:val="20"/>
                <w:szCs w:val="20"/>
              </w:rPr>
              <w:t>platné stavební povolení</w:t>
            </w:r>
          </w:p>
          <w:p w14:paraId="329B3208" w14:textId="77777777" w:rsidR="000B7F1D" w:rsidRPr="00E564E1" w:rsidRDefault="000B7F1D" w:rsidP="000B7F1D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E564E1">
              <w:rPr>
                <w:rFonts w:cstheme="minorHAnsi"/>
                <w:color w:val="FF0000"/>
                <w:sz w:val="20"/>
                <w:szCs w:val="20"/>
              </w:rPr>
              <w:t>žádost o stavební povolení</w:t>
            </w:r>
          </w:p>
          <w:p w14:paraId="06DB260A" w14:textId="77777777" w:rsidR="000B7F1D" w:rsidRDefault="000B7F1D" w:rsidP="000B7F1D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275DA5">
              <w:rPr>
                <w:rFonts w:cstheme="minorHAnsi"/>
                <w:color w:val="FF0000"/>
                <w:sz w:val="20"/>
                <w:szCs w:val="20"/>
              </w:rPr>
              <w:t xml:space="preserve">byly zahájeny stavební práce </w:t>
            </w:r>
          </w:p>
          <w:p w14:paraId="72196172" w14:textId="1C0B7F9B" w:rsidR="00991E7D" w:rsidRPr="000B7F1D" w:rsidRDefault="000B7F1D" w:rsidP="00991E7D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275DA5">
              <w:rPr>
                <w:rFonts w:cstheme="minorHAnsi"/>
                <w:color w:val="FF0000"/>
                <w:sz w:val="20"/>
                <w:szCs w:val="20"/>
              </w:rPr>
              <w:t>uzavřené výběrové řízení</w:t>
            </w:r>
          </w:p>
          <w:p w14:paraId="4AFE4A90" w14:textId="77777777" w:rsidR="00991E7D" w:rsidRDefault="000B7F1D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564E1">
              <w:rPr>
                <w:rFonts w:cstheme="minorHAnsi"/>
                <w:color w:val="FF0000"/>
                <w:sz w:val="20"/>
                <w:szCs w:val="20"/>
              </w:rPr>
              <w:t>a v jaké fázi se projekt nachází</w:t>
            </w:r>
            <w:r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  <w:p w14:paraId="52BC420F" w14:textId="7C20286A" w:rsidR="000B7F1D" w:rsidRPr="00586900" w:rsidRDefault="000B7F1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2307E599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5F3DFF42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8767232" w14:textId="77777777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proofErr w:type="spellStart"/>
            <w:proofErr w:type="gramStart"/>
            <w:r w:rsidR="00E746A8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 w:rsidRPr="00586900">
              <w:rPr>
                <w:color w:val="FF0000"/>
                <w:sz w:val="20"/>
                <w:szCs w:val="20"/>
              </w:rPr>
              <w:t xml:space="preserve">). Počítejte, že věcné hodnocení záměru ze strany MAS může trvat přibližně měsíc. Uvažujte, že vyjádření o souladu záměru se SCLLD MAS </w:t>
            </w:r>
            <w:r w:rsidR="007B044C">
              <w:rPr>
                <w:color w:val="FF0000"/>
                <w:sz w:val="20"/>
                <w:szCs w:val="20"/>
              </w:rPr>
              <w:t>Pošumaví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26509DF0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00FFD49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18C16B9" w14:textId="7777777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proofErr w:type="spellStart"/>
            <w:proofErr w:type="gramStart"/>
            <w:r w:rsidR="00E746A8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 w:rsidR="00E746A8" w:rsidRPr="00586900">
              <w:rPr>
                <w:color w:val="FF0000"/>
                <w:sz w:val="20"/>
                <w:szCs w:val="20"/>
              </w:rPr>
              <w:t>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FDD70C4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7DC7C066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32CFC71" w14:textId="7777777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proofErr w:type="spellStart"/>
            <w:proofErr w:type="gramStart"/>
            <w:r w:rsidR="00E746A8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 w:rsidR="00E746A8" w:rsidRPr="00586900">
              <w:rPr>
                <w:color w:val="FF0000"/>
                <w:sz w:val="20"/>
                <w:szCs w:val="20"/>
              </w:rPr>
              <w:t>)</w:t>
            </w:r>
            <w:r w:rsidR="00E746A8"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Realizace projektu nesmí být ukončena před podáním žádosti o podporu (plné žádosti o podporu do MS21+).</w:t>
            </w:r>
          </w:p>
        </w:tc>
      </w:tr>
      <w:tr w:rsidR="00991E7D" w:rsidRPr="00586900" w14:paraId="4AB94716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3BD078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0A6B0EE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8F960" w14:textId="77777777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44B39E4F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39CD0CA6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482687A8" w14:textId="77777777" w:rsidR="00991E7D" w:rsidRDefault="00991E7D" w:rsidP="00991E7D">
      <w:pPr>
        <w:rPr>
          <w:b/>
        </w:rPr>
      </w:pPr>
    </w:p>
    <w:p w14:paraId="092F2189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0CA8329F" w14:textId="77777777" w:rsidTr="00726F7F">
        <w:tc>
          <w:tcPr>
            <w:tcW w:w="3014" w:type="dxa"/>
            <w:vAlign w:val="center"/>
          </w:tcPr>
          <w:p w14:paraId="70262EA7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3D8AB1E" w14:textId="77777777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 w:rsidR="00BF17FA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2A29477C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2C26E63C" w14:textId="77777777" w:rsidTr="00726F7F">
        <w:tc>
          <w:tcPr>
            <w:tcW w:w="3014" w:type="dxa"/>
            <w:vAlign w:val="center"/>
          </w:tcPr>
          <w:p w14:paraId="2BAAB7AF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1CDE515E" w14:textId="5CE4FD4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8E76FB">
              <w:rPr>
                <w:rFonts w:cs="Arial"/>
                <w:color w:val="FF0000"/>
                <w:szCs w:val="20"/>
              </w:rPr>
              <w:t>,</w:t>
            </w:r>
            <w:r w:rsidR="00BF17FA">
              <w:rPr>
                <w:rFonts w:cs="Arial"/>
                <w:color w:val="FF0000"/>
                <w:szCs w:val="20"/>
              </w:rPr>
              <w:t xml:space="preserve"> limit pro výzvu č. </w:t>
            </w:r>
            <w:r w:rsidR="00B12F80">
              <w:rPr>
                <w:rFonts w:cs="Arial"/>
                <w:color w:val="FF0000"/>
                <w:szCs w:val="20"/>
              </w:rPr>
              <w:t>1</w:t>
            </w:r>
            <w:r w:rsidR="00275DA5">
              <w:rPr>
                <w:rFonts w:cs="Arial"/>
                <w:color w:val="FF0000"/>
                <w:szCs w:val="20"/>
              </w:rPr>
              <w:t>4</w:t>
            </w:r>
            <w:r w:rsidR="00BF17FA">
              <w:rPr>
                <w:rFonts w:cs="Arial"/>
                <w:color w:val="FF0000"/>
                <w:szCs w:val="20"/>
              </w:rPr>
              <w:t xml:space="preserve"> je stanoven na max. </w:t>
            </w:r>
            <w:r w:rsidR="00B12F80">
              <w:rPr>
                <w:rFonts w:cs="Arial"/>
                <w:color w:val="FF0000"/>
                <w:szCs w:val="20"/>
              </w:rPr>
              <w:t>5</w:t>
            </w:r>
            <w:r w:rsidR="00A46A14">
              <w:rPr>
                <w:rFonts w:cs="Arial"/>
                <w:color w:val="FF0000"/>
                <w:szCs w:val="20"/>
              </w:rPr>
              <w:t xml:space="preserve"> </w:t>
            </w:r>
            <w:r w:rsidR="00B12F80">
              <w:rPr>
                <w:rFonts w:cs="Arial"/>
                <w:color w:val="FF0000"/>
                <w:szCs w:val="20"/>
              </w:rPr>
              <w:t>00</w:t>
            </w:r>
            <w:r w:rsidR="00A46A14">
              <w:rPr>
                <w:rFonts w:cs="Arial"/>
                <w:color w:val="FF0000"/>
                <w:szCs w:val="20"/>
              </w:rPr>
              <w:t>0</w:t>
            </w:r>
            <w:r w:rsidR="00207E32">
              <w:rPr>
                <w:rFonts w:cs="Arial"/>
                <w:color w:val="FF0000"/>
                <w:szCs w:val="20"/>
              </w:rPr>
              <w:t> 000 </w:t>
            </w:r>
            <w:r w:rsidR="00BF17FA">
              <w:rPr>
                <w:rFonts w:cs="Arial"/>
                <w:color w:val="FF0000"/>
                <w:szCs w:val="20"/>
              </w:rPr>
              <w:t xml:space="preserve">Kč a min. </w:t>
            </w:r>
            <w:r w:rsidR="00207E32">
              <w:rPr>
                <w:rFonts w:cs="Arial"/>
                <w:color w:val="FF0000"/>
                <w:szCs w:val="20"/>
              </w:rPr>
              <w:t>500</w:t>
            </w:r>
            <w:r w:rsidR="00BF17FA">
              <w:rPr>
                <w:rFonts w:cs="Arial"/>
                <w:color w:val="FF0000"/>
                <w:szCs w:val="20"/>
              </w:rPr>
              <w:t> 000 Kč</w:t>
            </w:r>
          </w:p>
        </w:tc>
        <w:tc>
          <w:tcPr>
            <w:tcW w:w="702" w:type="dxa"/>
            <w:vAlign w:val="center"/>
          </w:tcPr>
          <w:p w14:paraId="17E44B3B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B6A03" w14:paraId="1A5CC646" w14:textId="77777777" w:rsidTr="00726F7F">
        <w:tc>
          <w:tcPr>
            <w:tcW w:w="3014" w:type="dxa"/>
            <w:vAlign w:val="center"/>
          </w:tcPr>
          <w:p w14:paraId="6B5B506E" w14:textId="77777777" w:rsidR="006B6A03" w:rsidRDefault="006B6A03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nezpůsobilé výdaje (CZK)</w:t>
            </w:r>
          </w:p>
        </w:tc>
        <w:tc>
          <w:tcPr>
            <w:tcW w:w="5326" w:type="dxa"/>
            <w:vAlign w:val="center"/>
          </w:tcPr>
          <w:p w14:paraId="2929747D" w14:textId="39DC54A7" w:rsidR="006B6A03" w:rsidRDefault="006B6A03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Uv</w:t>
            </w:r>
            <w:r w:rsidR="00AC2D92">
              <w:rPr>
                <w:rFonts w:cs="Arial"/>
                <w:color w:val="FF0000"/>
                <w:szCs w:val="20"/>
              </w:rPr>
              <w:t>e</w:t>
            </w:r>
            <w:r>
              <w:rPr>
                <w:rFonts w:cs="Arial"/>
                <w:color w:val="FF0000"/>
                <w:szCs w:val="20"/>
              </w:rPr>
              <w:t xml:space="preserve">ďte Celkové nezpůsobilé výdaje projektu, pokud v projektu nejsou nezpůsobilé výdaje uveďte nulovou hodnotu </w:t>
            </w:r>
          </w:p>
        </w:tc>
        <w:tc>
          <w:tcPr>
            <w:tcW w:w="702" w:type="dxa"/>
            <w:vAlign w:val="center"/>
          </w:tcPr>
          <w:p w14:paraId="3666A1DF" w14:textId="77777777" w:rsidR="006B6A03" w:rsidRPr="001C1F58" w:rsidRDefault="006B6A03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26F7F" w14:paraId="175EEA73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742F323C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51A71A96" w14:textId="77777777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2B3D0D3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B6A03" w14:paraId="2E239499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54EF4E" w14:textId="77777777" w:rsidR="006B6A03" w:rsidRDefault="006B6A03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EU – EFFR (CZK)</w:t>
            </w:r>
          </w:p>
        </w:tc>
        <w:tc>
          <w:tcPr>
            <w:tcW w:w="5326" w:type="dxa"/>
            <w:vAlign w:val="center"/>
          </w:tcPr>
          <w:p w14:paraId="686D5FA5" w14:textId="1E4F2256" w:rsidR="006B6A03" w:rsidRDefault="006B6A03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EU je dle specifických pravidel kap. </w:t>
            </w:r>
            <w:r w:rsidRPr="006B6A03">
              <w:rPr>
                <w:rFonts w:cs="Arial"/>
                <w:color w:val="FF0000"/>
                <w:szCs w:val="20"/>
              </w:rPr>
              <w:t>4.1 Struktura financován</w:t>
            </w:r>
            <w:r>
              <w:rPr>
                <w:rFonts w:cs="Arial"/>
                <w:color w:val="FF0000"/>
                <w:szCs w:val="20"/>
              </w:rPr>
              <w:t>í ve výši 80</w:t>
            </w:r>
            <w:r w:rsidR="00EE47F7">
              <w:rPr>
                <w:rFonts w:cs="Arial"/>
                <w:color w:val="FF0000"/>
                <w:szCs w:val="20"/>
              </w:rPr>
              <w:t xml:space="preserve"> </w:t>
            </w:r>
            <w:r>
              <w:rPr>
                <w:rFonts w:cs="Arial"/>
                <w:color w:val="FF0000"/>
                <w:szCs w:val="20"/>
              </w:rPr>
              <w:t>% z</w:t>
            </w:r>
            <w:r w:rsidR="00207E32">
              <w:rPr>
                <w:rFonts w:cs="Arial"/>
                <w:color w:val="FF0000"/>
                <w:szCs w:val="20"/>
              </w:rPr>
              <w:t xml:space="preserve"> </w:t>
            </w:r>
            <w:r>
              <w:rPr>
                <w:rFonts w:cs="Arial"/>
                <w:color w:val="FF0000"/>
                <w:szCs w:val="20"/>
              </w:rPr>
              <w:t>celkových způsobilých výdajů projektu</w:t>
            </w:r>
          </w:p>
        </w:tc>
        <w:tc>
          <w:tcPr>
            <w:tcW w:w="702" w:type="dxa"/>
            <w:vAlign w:val="center"/>
          </w:tcPr>
          <w:p w14:paraId="46FB34C0" w14:textId="77777777" w:rsidR="006B6A03" w:rsidRPr="001C1F58" w:rsidRDefault="000C51D6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5C4376BC" w14:textId="77777777" w:rsidR="00275DA5" w:rsidRDefault="00275DA5" w:rsidP="00647584">
      <w:pPr>
        <w:rPr>
          <w:b/>
        </w:rPr>
      </w:pPr>
    </w:p>
    <w:p w14:paraId="4D30C9A5" w14:textId="77777777" w:rsidR="008121A6" w:rsidRDefault="008121A6" w:rsidP="00647584">
      <w:pPr>
        <w:rPr>
          <w:b/>
        </w:rPr>
      </w:pPr>
    </w:p>
    <w:p w14:paraId="20AC9578" w14:textId="77777777" w:rsidR="008121A6" w:rsidRDefault="008121A6" w:rsidP="00647584">
      <w:pPr>
        <w:rPr>
          <w:b/>
        </w:rPr>
      </w:pPr>
    </w:p>
    <w:p w14:paraId="44CA197F" w14:textId="77777777" w:rsidR="008121A6" w:rsidRDefault="008121A6" w:rsidP="00647584">
      <w:pPr>
        <w:rPr>
          <w:b/>
        </w:rPr>
      </w:pPr>
    </w:p>
    <w:p w14:paraId="232EFFB6" w14:textId="17EEF217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12DF52E8" w14:textId="77777777" w:rsidTr="004605C3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8BB1D" w14:textId="2E66193D" w:rsidR="004605C3" w:rsidRPr="00282D16" w:rsidRDefault="003C5E32" w:rsidP="00755FF3">
            <w:pPr>
              <w:rPr>
                <w:rFonts w:cstheme="minorHAnsi"/>
                <w:b/>
              </w:rPr>
            </w:pPr>
            <w:r w:rsidRPr="00282D16">
              <w:rPr>
                <w:rFonts w:cstheme="minorHAnsi"/>
                <w:b/>
              </w:rPr>
              <w:t>Návaznost na strategické dokumenty rozvoje obce</w:t>
            </w:r>
            <w:r w:rsidR="00174A6F" w:rsidRPr="00282D16">
              <w:rPr>
                <w:rFonts w:cstheme="minorHAnsi"/>
                <w:b/>
              </w:rPr>
              <w:t>:</w:t>
            </w:r>
          </w:p>
        </w:tc>
      </w:tr>
      <w:tr w:rsidR="004605C3" w:rsidRPr="00586900" w14:paraId="483844FB" w14:textId="77777777" w:rsidTr="004605C3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EAD7F" w14:textId="5482496D" w:rsidR="008121A6" w:rsidRPr="00EA1CC2" w:rsidRDefault="008121A6" w:rsidP="008121A6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A1CC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Uveďte</w:t>
            </w:r>
            <w:r w:rsidR="00725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</w:t>
            </w:r>
            <w:r w:rsidRPr="00EA1CC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zdali je projekt přímo zmíněn v návrhové části Programu rozvoje obce, Místním programu obnovy vesnice, Strategie rozvoje obce nebo jiném strategickém dokumentu obce nebo mikroregionu, který byl schválen příslušnými orgány obce před datem vyhlášení výzvy a zároveň je zveřejněn na internetových stránkách obce. Žadatel uvede funkční odkaz na příslušnou internetovou stránku, kde je dokument zveřejněn a zároveň doloží prokazatelné dokumenty o schválení strategického dokumentu (usnesení zastupitelstva vč. zápisu). V projektovém záměru uvede odkaz na schválený projekt tzn. na části </w:t>
            </w:r>
            <w:proofErr w:type="gramStart"/>
            <w:r w:rsidRPr="00EA1CC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dokumentu</w:t>
            </w:r>
            <w:proofErr w:type="gramEnd"/>
            <w:r w:rsidRPr="00EA1CC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a to konktrétně strany, kde je projekt a oblast projektového záměru řešena. </w:t>
            </w:r>
          </w:p>
          <w:p w14:paraId="65190AFA" w14:textId="72B8EB21" w:rsidR="004605C3" w:rsidRDefault="004605C3" w:rsidP="00B11872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cstheme="minorHAnsi"/>
                <w:b/>
                <w:sz w:val="20"/>
                <w:szCs w:val="20"/>
              </w:rPr>
            </w:pPr>
            <w:r w:rsidRPr="004605C3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0CC6F882" w14:textId="77777777" w:rsidR="004605C3" w:rsidRPr="004605C3" w:rsidRDefault="004605C3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75DA5" w:rsidRPr="00586900" w14:paraId="28C77B2B" w14:textId="77777777" w:rsidTr="00B1187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59E52" w14:textId="7F657047" w:rsidR="00275DA5" w:rsidRPr="00282D16" w:rsidRDefault="00275DA5" w:rsidP="00275DA5">
            <w:pPr>
              <w:rPr>
                <w:rFonts w:cstheme="minorHAnsi"/>
                <w:b/>
              </w:rPr>
            </w:pPr>
            <w:r w:rsidRPr="00282D16">
              <w:rPr>
                <w:rFonts w:cstheme="minorHAnsi"/>
                <w:b/>
              </w:rPr>
              <w:t>Projekt byl projednán s</w:t>
            </w:r>
            <w:r w:rsidR="00282D16" w:rsidRPr="00282D16">
              <w:rPr>
                <w:rFonts w:cstheme="minorHAnsi"/>
                <w:b/>
              </w:rPr>
              <w:t> </w:t>
            </w:r>
            <w:r w:rsidRPr="00282D16">
              <w:rPr>
                <w:rFonts w:cstheme="minorHAnsi"/>
                <w:b/>
              </w:rPr>
              <w:t>občany</w:t>
            </w:r>
            <w:r w:rsidR="00282D16" w:rsidRPr="00282D16">
              <w:rPr>
                <w:rFonts w:cstheme="minorHAnsi"/>
                <w:b/>
              </w:rPr>
              <w:t>:</w:t>
            </w:r>
            <w:r w:rsidRPr="00282D16">
              <w:rPr>
                <w:rFonts w:cstheme="minorHAnsi"/>
                <w:b/>
              </w:rPr>
              <w:t xml:space="preserve"> </w:t>
            </w:r>
          </w:p>
        </w:tc>
      </w:tr>
      <w:tr w:rsidR="00275DA5" w:rsidRPr="00586900" w14:paraId="7E7E2A1C" w14:textId="77777777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CF020" w14:textId="1BF6575D" w:rsidR="00275DA5" w:rsidRPr="00282D16" w:rsidRDefault="00275DA5" w:rsidP="00275DA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2D16">
              <w:rPr>
                <w:rFonts w:cstheme="minorHAnsi"/>
                <w:color w:val="FF0000"/>
                <w:sz w:val="20"/>
                <w:szCs w:val="20"/>
              </w:rPr>
              <w:t>Popište</w:t>
            </w:r>
            <w:r w:rsidR="007251FA">
              <w:rPr>
                <w:rFonts w:cstheme="minorHAnsi"/>
                <w:color w:val="FF0000"/>
                <w:sz w:val="20"/>
                <w:szCs w:val="20"/>
              </w:rPr>
              <w:t>,</w:t>
            </w:r>
            <w:r w:rsidRPr="00282D16">
              <w:rPr>
                <w:rFonts w:cstheme="minorHAnsi"/>
                <w:color w:val="FF0000"/>
                <w:sz w:val="20"/>
                <w:szCs w:val="20"/>
              </w:rPr>
              <w:t xml:space="preserve"> jestli projekt byl projednán s občany před datem vyhlášení výzvy MAS Pošumaví. Jakým způsobem bylo realizováno projednání a jaké dokumenty z jednání jsou výstupem.</w:t>
            </w:r>
          </w:p>
          <w:p w14:paraId="04C33C9D" w14:textId="77777777" w:rsidR="00275DA5" w:rsidRPr="00282D16" w:rsidRDefault="00275DA5" w:rsidP="00275D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50F913EC" w14:textId="77777777" w:rsidR="00275DA5" w:rsidRPr="00282D16" w:rsidRDefault="00275DA5" w:rsidP="00275D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F6372A" w:rsidRPr="00586900" w14:paraId="4875C874" w14:textId="77777777" w:rsidTr="00F6372A">
        <w:tc>
          <w:tcPr>
            <w:tcW w:w="90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26B28" w14:textId="719150B2" w:rsidR="00F6372A" w:rsidRPr="00282D16" w:rsidRDefault="00F6372A" w:rsidP="00F6372A">
            <w:pPr>
              <w:rPr>
                <w:rFonts w:cstheme="minorHAnsi"/>
                <w:b/>
              </w:rPr>
            </w:pPr>
            <w:r w:rsidRPr="00282D16">
              <w:rPr>
                <w:rFonts w:cstheme="minorHAnsi"/>
                <w:b/>
              </w:rPr>
              <w:t>Na projektu došlo k participaci architektonické kanceláře</w:t>
            </w:r>
            <w:r w:rsidR="00282D16" w:rsidRPr="00282D16">
              <w:rPr>
                <w:rFonts w:cstheme="minorHAnsi"/>
                <w:b/>
              </w:rPr>
              <w:t>:</w:t>
            </w:r>
          </w:p>
        </w:tc>
      </w:tr>
      <w:tr w:rsidR="00F6372A" w:rsidRPr="00586900" w14:paraId="0FD60C64" w14:textId="77777777" w:rsidTr="005C57BE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EBB2" w14:textId="2547AEBE" w:rsidR="00F6372A" w:rsidRPr="00282D16" w:rsidRDefault="00F6372A" w:rsidP="00F6372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82D16">
              <w:rPr>
                <w:rFonts w:cstheme="minorHAnsi"/>
                <w:color w:val="FF0000"/>
                <w:sz w:val="20"/>
                <w:szCs w:val="20"/>
              </w:rPr>
              <w:t>Popište</w:t>
            </w:r>
            <w:r w:rsidR="007251FA">
              <w:rPr>
                <w:rFonts w:cstheme="minorHAnsi"/>
                <w:color w:val="FF0000"/>
                <w:sz w:val="20"/>
                <w:szCs w:val="20"/>
              </w:rPr>
              <w:t>,</w:t>
            </w:r>
            <w:r w:rsidRPr="00282D16">
              <w:rPr>
                <w:rFonts w:cstheme="minorHAnsi"/>
                <w:color w:val="FF0000"/>
                <w:sz w:val="20"/>
                <w:szCs w:val="20"/>
              </w:rPr>
              <w:t xml:space="preserve"> jakým způsobem se podílela na projektu architektonická kancelář.</w:t>
            </w:r>
          </w:p>
          <w:p w14:paraId="0439F88A" w14:textId="77777777" w:rsidR="00F6372A" w:rsidRPr="00282D16" w:rsidRDefault="00F6372A" w:rsidP="00F6372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F0076B0" w14:textId="77777777" w:rsidR="00F6372A" w:rsidRPr="00282D16" w:rsidRDefault="00F6372A" w:rsidP="00F6372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73906274" w14:textId="77777777" w:rsidR="00647584" w:rsidRDefault="00647584" w:rsidP="00647584">
      <w:pPr>
        <w:rPr>
          <w:b/>
        </w:rPr>
      </w:pPr>
    </w:p>
    <w:p w14:paraId="051DF335" w14:textId="77777777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14946CB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6907DD7E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6DC90F2D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55581A79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2FFC67CE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01270722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3332F0" w:rsidRPr="001C1F58" w14:paraId="4AB4017D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69BA622" w14:textId="634AD625" w:rsidR="003332F0" w:rsidRDefault="003332F0" w:rsidP="00755FF3">
            <w:pPr>
              <w:spacing w:after="0" w:line="240" w:lineRule="auto"/>
            </w:pPr>
            <w:r>
              <w:t>Indikátory výstupu:</w:t>
            </w:r>
          </w:p>
        </w:tc>
        <w:tc>
          <w:tcPr>
            <w:tcW w:w="3260" w:type="dxa"/>
            <w:noWrap/>
            <w:vAlign w:val="center"/>
          </w:tcPr>
          <w:p w14:paraId="7C41510C" w14:textId="77777777" w:rsidR="003332F0" w:rsidRDefault="003332F0" w:rsidP="00755FF3">
            <w:pPr>
              <w:spacing w:after="0" w:line="240" w:lineRule="auto"/>
            </w:pPr>
          </w:p>
        </w:tc>
        <w:tc>
          <w:tcPr>
            <w:tcW w:w="1408" w:type="dxa"/>
            <w:noWrap/>
            <w:vAlign w:val="center"/>
          </w:tcPr>
          <w:p w14:paraId="70CF2C5F" w14:textId="77777777" w:rsidR="003332F0" w:rsidRPr="00207E32" w:rsidRDefault="003332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56E631D2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8122220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21ED47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032DB05E" w14:textId="77777777" w:rsidR="00991E7D" w:rsidRPr="006A1889" w:rsidRDefault="00207E32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 xml:space="preserve">444 001 </w:t>
            </w:r>
          </w:p>
        </w:tc>
        <w:tc>
          <w:tcPr>
            <w:tcW w:w="3260" w:type="dxa"/>
            <w:noWrap/>
            <w:vAlign w:val="center"/>
          </w:tcPr>
          <w:p w14:paraId="0AD3C431" w14:textId="77777777" w:rsidR="00991E7D" w:rsidRPr="006A1889" w:rsidRDefault="00207E32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Zelená infrastruktura podpořená pro jiné účely než přizpůsobování se změnám klimatu</w:t>
            </w:r>
          </w:p>
        </w:tc>
        <w:tc>
          <w:tcPr>
            <w:tcW w:w="1408" w:type="dxa"/>
            <w:noWrap/>
            <w:vAlign w:val="center"/>
          </w:tcPr>
          <w:p w14:paraId="791A4E90" w14:textId="77777777" w:rsidR="00991E7D" w:rsidRPr="006A1889" w:rsidRDefault="00207E32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07E32"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382" w:type="dxa"/>
            <w:noWrap/>
            <w:vAlign w:val="center"/>
          </w:tcPr>
          <w:p w14:paraId="0144D5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AF24AD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1DD418D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73C9D9CE" w14:textId="77777777" w:rsidR="00991E7D" w:rsidRPr="006A1889" w:rsidRDefault="00207E32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 xml:space="preserve">444 101 </w:t>
            </w:r>
          </w:p>
        </w:tc>
        <w:tc>
          <w:tcPr>
            <w:tcW w:w="3260" w:type="dxa"/>
            <w:noWrap/>
            <w:vAlign w:val="center"/>
          </w:tcPr>
          <w:p w14:paraId="21B5A85B" w14:textId="77777777" w:rsidR="00991E7D" w:rsidRPr="006A1889" w:rsidRDefault="00207E32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Plocha podpořeného veřejného prostranství</w:t>
            </w:r>
          </w:p>
        </w:tc>
        <w:tc>
          <w:tcPr>
            <w:tcW w:w="1408" w:type="dxa"/>
            <w:noWrap/>
            <w:vAlign w:val="center"/>
          </w:tcPr>
          <w:p w14:paraId="5108607B" w14:textId="77777777" w:rsidR="00991E7D" w:rsidRPr="006A1889" w:rsidRDefault="00207E32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382" w:type="dxa"/>
            <w:noWrap/>
            <w:vAlign w:val="center"/>
          </w:tcPr>
          <w:p w14:paraId="496A3C14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0B8FAC9A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419203D2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0287B24" w14:textId="6F1C24ED" w:rsidR="008F1B30" w:rsidRPr="003332F0" w:rsidRDefault="003332F0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332F0">
              <w:rPr>
                <w:rFonts w:cs="Arial"/>
                <w:bCs/>
                <w:szCs w:val="20"/>
              </w:rPr>
              <w:t>Indikátory výsledku:</w:t>
            </w:r>
          </w:p>
        </w:tc>
        <w:tc>
          <w:tcPr>
            <w:tcW w:w="3260" w:type="dxa"/>
            <w:noWrap/>
            <w:vAlign w:val="center"/>
          </w:tcPr>
          <w:p w14:paraId="6C08E167" w14:textId="6EF9275A" w:rsidR="008F1B30" w:rsidRPr="006A1889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2BBC17A4" w14:textId="76A9E668" w:rsidR="008F1B30" w:rsidRPr="006A1889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69E3C5B8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225073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332F0" w:rsidRPr="001C1F58" w14:paraId="703DC840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2AA28D87" w14:textId="12B79B28" w:rsidR="003332F0" w:rsidRPr="00F16788" w:rsidRDefault="003332F0" w:rsidP="00755FF3">
            <w:pPr>
              <w:spacing w:after="0" w:line="240" w:lineRule="auto"/>
            </w:pPr>
            <w:r w:rsidRPr="00F16788">
              <w:t>426</w:t>
            </w:r>
            <w:r w:rsidR="00F16788">
              <w:t xml:space="preserve"> </w:t>
            </w:r>
            <w:r w:rsidRPr="00F16788">
              <w:t>001</w:t>
            </w:r>
          </w:p>
        </w:tc>
        <w:tc>
          <w:tcPr>
            <w:tcW w:w="3260" w:type="dxa"/>
            <w:noWrap/>
            <w:vAlign w:val="center"/>
          </w:tcPr>
          <w:p w14:paraId="391C2AF7" w14:textId="1F6210F7" w:rsidR="003332F0" w:rsidRPr="00F16788" w:rsidRDefault="003332F0" w:rsidP="00755FF3">
            <w:pPr>
              <w:spacing w:after="0" w:line="240" w:lineRule="auto"/>
            </w:pPr>
            <w:r w:rsidRPr="00F16788">
              <w:t>Objem retenčních nádrží pro využití srážkové vody</w:t>
            </w:r>
          </w:p>
        </w:tc>
        <w:tc>
          <w:tcPr>
            <w:tcW w:w="1408" w:type="dxa"/>
            <w:noWrap/>
            <w:vAlign w:val="center"/>
          </w:tcPr>
          <w:p w14:paraId="08A9250B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5BFECC45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8EF5286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332F0" w:rsidRPr="001C1F58" w14:paraId="5B0E469B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54EAEAC7" w14:textId="4BF699A2" w:rsidR="003332F0" w:rsidRPr="00F16788" w:rsidRDefault="003332F0" w:rsidP="00755FF3">
            <w:pPr>
              <w:spacing w:after="0" w:line="240" w:lineRule="auto"/>
            </w:pPr>
            <w:r w:rsidRPr="00F16788">
              <w:t>444 011</w:t>
            </w:r>
          </w:p>
        </w:tc>
        <w:tc>
          <w:tcPr>
            <w:tcW w:w="3260" w:type="dxa"/>
            <w:noWrap/>
            <w:vAlign w:val="center"/>
          </w:tcPr>
          <w:p w14:paraId="533DB52D" w14:textId="60EACA0E" w:rsidR="003332F0" w:rsidRPr="00F16788" w:rsidRDefault="003332F0" w:rsidP="00755FF3">
            <w:pPr>
              <w:spacing w:after="0" w:line="240" w:lineRule="auto"/>
            </w:pPr>
            <w:r w:rsidRPr="00F16788">
              <w:t>Počet obyvatel, kteří mají přístup k nové nebo modernizované zelené infrastruktuře</w:t>
            </w:r>
          </w:p>
        </w:tc>
        <w:tc>
          <w:tcPr>
            <w:tcW w:w="1408" w:type="dxa"/>
            <w:noWrap/>
            <w:vAlign w:val="center"/>
          </w:tcPr>
          <w:p w14:paraId="015C53DF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4E0A414A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A77A552" w14:textId="77777777" w:rsidR="003332F0" w:rsidRPr="00586900" w:rsidRDefault="003332F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5646F7CE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19A97665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52FB1C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61C3AB6E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2A948523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1EC451F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C88C6FE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B9D8BA6" w14:textId="77777777" w:rsidR="00586900" w:rsidRDefault="00586900" w:rsidP="00991E7D">
      <w:pPr>
        <w:rPr>
          <w:b/>
        </w:rPr>
      </w:pPr>
    </w:p>
    <w:p w14:paraId="1E007920" w14:textId="77777777" w:rsidR="007251FA" w:rsidRDefault="007251FA" w:rsidP="00991E7D">
      <w:pPr>
        <w:rPr>
          <w:b/>
        </w:rPr>
      </w:pPr>
    </w:p>
    <w:p w14:paraId="37B7BE18" w14:textId="77777777" w:rsidR="007251FA" w:rsidRDefault="007251FA" w:rsidP="00991E7D">
      <w:pPr>
        <w:rPr>
          <w:b/>
        </w:rPr>
      </w:pPr>
    </w:p>
    <w:p w14:paraId="06759B73" w14:textId="77777777" w:rsidR="007251FA" w:rsidRDefault="007251FA" w:rsidP="00991E7D">
      <w:pPr>
        <w:rPr>
          <w:b/>
        </w:rPr>
      </w:pPr>
    </w:p>
    <w:p w14:paraId="66035C22" w14:textId="1F0463CE" w:rsidR="00991E7D" w:rsidRPr="007B5D3D" w:rsidRDefault="00991E7D" w:rsidP="00991E7D">
      <w:pPr>
        <w:rPr>
          <w:b/>
        </w:rPr>
      </w:pPr>
      <w:bookmarkStart w:id="1" w:name="_GoBack"/>
      <w:bookmarkEnd w:id="1"/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0F2463CD" w14:textId="77777777" w:rsidTr="00586900">
        <w:tc>
          <w:tcPr>
            <w:tcW w:w="3671" w:type="dxa"/>
          </w:tcPr>
          <w:p w14:paraId="29F275DF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55A0A69B" w14:textId="77777777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EB0298" w:rsidRPr="007B5D3D" w14:paraId="0471BACF" w14:textId="77777777" w:rsidTr="00586900">
        <w:tc>
          <w:tcPr>
            <w:tcW w:w="3671" w:type="dxa"/>
          </w:tcPr>
          <w:p w14:paraId="02155AA3" w14:textId="77777777" w:rsidR="00EB0298" w:rsidRPr="007B5D3D" w:rsidRDefault="00EB0298" w:rsidP="00EB0298">
            <w:r w:rsidRPr="007B5D3D">
              <w:t>Příloha č. 2</w:t>
            </w:r>
          </w:p>
        </w:tc>
        <w:tc>
          <w:tcPr>
            <w:tcW w:w="5371" w:type="dxa"/>
          </w:tcPr>
          <w:p w14:paraId="0842C44F" w14:textId="77777777" w:rsidR="00EB0298" w:rsidRPr="007B5D3D" w:rsidRDefault="00EB0298" w:rsidP="00EB0298">
            <w:r>
              <w:rPr>
                <w:color w:val="FF0000"/>
              </w:rPr>
              <w:t>Doplňte další přílohy, jsou-li relevantní.</w:t>
            </w:r>
          </w:p>
        </w:tc>
      </w:tr>
      <w:tr w:rsidR="00991E7D" w:rsidRPr="007B5D3D" w14:paraId="404E3090" w14:textId="77777777" w:rsidTr="00586900">
        <w:tc>
          <w:tcPr>
            <w:tcW w:w="3671" w:type="dxa"/>
          </w:tcPr>
          <w:p w14:paraId="1A1852D6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322E9671" w14:textId="77777777" w:rsidR="00991E7D" w:rsidRPr="007B5D3D" w:rsidRDefault="00586900" w:rsidP="00755FF3">
            <w:r>
              <w:rPr>
                <w:color w:val="FF0000"/>
              </w:rPr>
              <w:t>Doplňte další přílohy,</w:t>
            </w:r>
            <w:r w:rsidR="00F6372A">
              <w:rPr>
                <w:color w:val="FF0000"/>
              </w:rPr>
              <w:t xml:space="preserve"> potřebné k věcnému hodnocení</w:t>
            </w:r>
            <w:r>
              <w:rPr>
                <w:color w:val="FF0000"/>
              </w:rPr>
              <w:t xml:space="preserve"> jsou-li relevantní.</w:t>
            </w:r>
          </w:p>
        </w:tc>
      </w:tr>
    </w:tbl>
    <w:p w14:paraId="17C5467A" w14:textId="77777777" w:rsidR="00A65B1D" w:rsidRDefault="00A65B1D" w:rsidP="006E6251">
      <w:pPr>
        <w:rPr>
          <w:b/>
          <w:bCs/>
        </w:rPr>
      </w:pPr>
    </w:p>
    <w:p w14:paraId="7DE64FD0" w14:textId="34729BB4" w:rsidR="0065519B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65519B" w:rsidRPr="001C1F58" w14:paraId="10C64779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14:paraId="13A6C309" w14:textId="0E906A53" w:rsidR="0065519B" w:rsidRDefault="0065519B" w:rsidP="0065519B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Datum původního podání PZ: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F94F6A0" w14:textId="554B9FDC" w:rsidR="0065519B" w:rsidRDefault="0065519B" w:rsidP="0065519B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B150E4">
              <w:rPr>
                <w:rFonts w:cs="Arial"/>
                <w:bCs/>
                <w:i/>
                <w:sz w:val="20"/>
                <w:szCs w:val="20"/>
              </w:rPr>
              <w:t xml:space="preserve">Vyplňte pouze při výzvě k doplnění </w:t>
            </w:r>
            <w:r>
              <w:rPr>
                <w:rFonts w:cs="Arial"/>
                <w:bCs/>
                <w:i/>
                <w:sz w:val="20"/>
                <w:szCs w:val="20"/>
              </w:rPr>
              <w:t>PZ</w:t>
            </w:r>
            <w:r w:rsidRPr="00B150E4">
              <w:rPr>
                <w:rFonts w:cs="Arial"/>
                <w:bCs/>
                <w:i/>
                <w:sz w:val="20"/>
                <w:szCs w:val="20"/>
              </w:rPr>
              <w:t xml:space="preserve"> v rámci administrativní kontroly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 / v případě prvotního podání projektového záměru uveďte NERELEVANTNÍ.</w:t>
            </w:r>
          </w:p>
        </w:tc>
      </w:tr>
      <w:tr w:rsidR="00991E7D" w:rsidRPr="001C1F58" w14:paraId="4B5D867C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60736E1" w14:textId="77777777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DD123F7" w14:textId="7155C5CB" w:rsidR="00991E7D" w:rsidRPr="001C1F58" w:rsidRDefault="00AC2D92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4B5E4C55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DFD0F06" w14:textId="77777777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0363A10" w14:textId="367C3E32" w:rsidR="00991E7D" w:rsidRPr="001C1F58" w:rsidRDefault="00AC2D92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54A0D9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7BA32E85" w14:textId="39B36E90" w:rsidR="00991E7D" w:rsidRPr="001C1F58" w:rsidRDefault="00D76BFA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</w:t>
            </w:r>
            <w:r w:rsidR="0065519B">
              <w:rPr>
                <w:rFonts w:cs="Arial"/>
                <w:bCs/>
                <w:szCs w:val="20"/>
              </w:rPr>
              <w:t xml:space="preserve"> </w:t>
            </w:r>
            <w:r w:rsidR="00991E7D">
              <w:rPr>
                <w:rFonts w:cs="Arial"/>
                <w:bCs/>
                <w:szCs w:val="20"/>
              </w:rPr>
              <w:t>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95C2" w14:textId="77777777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74F92D94" w14:textId="77777777" w:rsidR="00991E7D" w:rsidRPr="006E6251" w:rsidRDefault="00991E7D" w:rsidP="006E6251"/>
    <w:sectPr w:rsidR="00991E7D" w:rsidRPr="006E6251" w:rsidSect="004E4B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E47B0" w14:textId="77777777" w:rsidR="00EC4D54" w:rsidRDefault="00EC4D54" w:rsidP="00DC4000">
      <w:pPr>
        <w:spacing w:after="0" w:line="240" w:lineRule="auto"/>
      </w:pPr>
      <w:r>
        <w:separator/>
      </w:r>
    </w:p>
  </w:endnote>
  <w:endnote w:type="continuationSeparator" w:id="0">
    <w:p w14:paraId="164CC2F6" w14:textId="77777777" w:rsidR="00EC4D54" w:rsidRDefault="00EC4D5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5308439"/>
      <w:docPartObj>
        <w:docPartGallery w:val="Page Numbers (Bottom of Page)"/>
        <w:docPartUnique/>
      </w:docPartObj>
    </w:sdtPr>
    <w:sdtEndPr/>
    <w:sdtContent>
      <w:p w14:paraId="740F1FB6" w14:textId="77777777" w:rsidR="00211D24" w:rsidRDefault="009B6068">
        <w:pPr>
          <w:pStyle w:val="Zpat"/>
          <w:jc w:val="right"/>
        </w:pPr>
        <w:r>
          <w:fldChar w:fldCharType="begin"/>
        </w:r>
        <w:r w:rsidR="00211D24">
          <w:instrText>PAGE   \* MERGEFORMAT</w:instrText>
        </w:r>
        <w:r>
          <w:fldChar w:fldCharType="separate"/>
        </w:r>
        <w:r w:rsidR="00906B9E">
          <w:rPr>
            <w:noProof/>
          </w:rPr>
          <w:t>5</w:t>
        </w:r>
        <w:r>
          <w:fldChar w:fldCharType="end"/>
        </w:r>
      </w:p>
    </w:sdtContent>
  </w:sdt>
  <w:p w14:paraId="0340849B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8ACF0" w14:textId="77777777" w:rsidR="00EC4D54" w:rsidRDefault="00EC4D54" w:rsidP="00DC4000">
      <w:pPr>
        <w:spacing w:after="0" w:line="240" w:lineRule="auto"/>
      </w:pPr>
      <w:r>
        <w:separator/>
      </w:r>
    </w:p>
  </w:footnote>
  <w:footnote w:type="continuationSeparator" w:id="0">
    <w:p w14:paraId="706FC9B5" w14:textId="77777777" w:rsidR="00EC4D54" w:rsidRDefault="00EC4D5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0812D" w14:textId="77777777" w:rsidR="00DC4000" w:rsidRDefault="0042404B">
    <w:pPr>
      <w:pStyle w:val="Zhlav"/>
    </w:pPr>
    <w:r>
      <w:rPr>
        <w:noProof/>
        <w:lang w:eastAsia="cs-CZ"/>
      </w:rPr>
      <w:drawing>
        <wp:inline distT="0" distB="0" distL="0" distR="0" wp14:anchorId="5EE20797" wp14:editId="204A2012">
          <wp:extent cx="3916680" cy="505732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2131" cy="57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  <w:lang w:eastAsia="cs-CZ"/>
      </w:rPr>
      <w:drawing>
        <wp:inline distT="0" distB="0" distL="0" distR="0" wp14:anchorId="56BD21D0" wp14:editId="30C70925">
          <wp:extent cx="1196340" cy="458361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_posumav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15" cy="48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2D60"/>
    <w:multiLevelType w:val="hybridMultilevel"/>
    <w:tmpl w:val="12B4D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3813"/>
    <w:rsid w:val="0003636B"/>
    <w:rsid w:val="000B7CDE"/>
    <w:rsid w:val="000B7F1D"/>
    <w:rsid w:val="000C51D6"/>
    <w:rsid w:val="000E22D9"/>
    <w:rsid w:val="000F18EA"/>
    <w:rsid w:val="00106565"/>
    <w:rsid w:val="001115D4"/>
    <w:rsid w:val="00117535"/>
    <w:rsid w:val="00127BAB"/>
    <w:rsid w:val="00147D41"/>
    <w:rsid w:val="001704A1"/>
    <w:rsid w:val="00170698"/>
    <w:rsid w:val="00174A6F"/>
    <w:rsid w:val="001B477B"/>
    <w:rsid w:val="001D6420"/>
    <w:rsid w:val="0020533F"/>
    <w:rsid w:val="00207E32"/>
    <w:rsid w:val="00211D24"/>
    <w:rsid w:val="0023690F"/>
    <w:rsid w:val="002475B5"/>
    <w:rsid w:val="00252F53"/>
    <w:rsid w:val="00260C35"/>
    <w:rsid w:val="002749EF"/>
    <w:rsid w:val="00275DA5"/>
    <w:rsid w:val="00282D16"/>
    <w:rsid w:val="002B045A"/>
    <w:rsid w:val="002B6755"/>
    <w:rsid w:val="002E7863"/>
    <w:rsid w:val="00302B62"/>
    <w:rsid w:val="00316F9E"/>
    <w:rsid w:val="00331076"/>
    <w:rsid w:val="003332F0"/>
    <w:rsid w:val="00351DDA"/>
    <w:rsid w:val="003575C3"/>
    <w:rsid w:val="00377ED7"/>
    <w:rsid w:val="00393560"/>
    <w:rsid w:val="003B23DB"/>
    <w:rsid w:val="003C5E32"/>
    <w:rsid w:val="003E4E8C"/>
    <w:rsid w:val="003F35B4"/>
    <w:rsid w:val="00420D2A"/>
    <w:rsid w:val="0042404B"/>
    <w:rsid w:val="00436CAE"/>
    <w:rsid w:val="00446298"/>
    <w:rsid w:val="00455349"/>
    <w:rsid w:val="004605C3"/>
    <w:rsid w:val="00464E8B"/>
    <w:rsid w:val="00483FE8"/>
    <w:rsid w:val="004A70A7"/>
    <w:rsid w:val="004A7E5C"/>
    <w:rsid w:val="004A7F57"/>
    <w:rsid w:val="004D7A8D"/>
    <w:rsid w:val="004E36F2"/>
    <w:rsid w:val="004E4B1D"/>
    <w:rsid w:val="00510690"/>
    <w:rsid w:val="005277C3"/>
    <w:rsid w:val="005665B4"/>
    <w:rsid w:val="00566AB1"/>
    <w:rsid w:val="00576BEA"/>
    <w:rsid w:val="00583387"/>
    <w:rsid w:val="00586900"/>
    <w:rsid w:val="00590FDD"/>
    <w:rsid w:val="00647584"/>
    <w:rsid w:val="0065519B"/>
    <w:rsid w:val="006672CF"/>
    <w:rsid w:val="006A1889"/>
    <w:rsid w:val="006B6A03"/>
    <w:rsid w:val="006C580A"/>
    <w:rsid w:val="006E6251"/>
    <w:rsid w:val="007251FA"/>
    <w:rsid w:val="00726F7F"/>
    <w:rsid w:val="0074625F"/>
    <w:rsid w:val="00756F8E"/>
    <w:rsid w:val="007B044C"/>
    <w:rsid w:val="007D1E1A"/>
    <w:rsid w:val="007E053F"/>
    <w:rsid w:val="00806654"/>
    <w:rsid w:val="008121A6"/>
    <w:rsid w:val="008167B8"/>
    <w:rsid w:val="0082582B"/>
    <w:rsid w:val="008418D8"/>
    <w:rsid w:val="008C6FB6"/>
    <w:rsid w:val="008D2D37"/>
    <w:rsid w:val="008E76FB"/>
    <w:rsid w:val="008F1B30"/>
    <w:rsid w:val="008F51EB"/>
    <w:rsid w:val="00906B9E"/>
    <w:rsid w:val="00912203"/>
    <w:rsid w:val="00991E7D"/>
    <w:rsid w:val="009B6068"/>
    <w:rsid w:val="009D31A0"/>
    <w:rsid w:val="009D6026"/>
    <w:rsid w:val="009E2C66"/>
    <w:rsid w:val="00A46A14"/>
    <w:rsid w:val="00A65B1D"/>
    <w:rsid w:val="00AC004D"/>
    <w:rsid w:val="00AC2D92"/>
    <w:rsid w:val="00B11872"/>
    <w:rsid w:val="00B12F80"/>
    <w:rsid w:val="00B2672F"/>
    <w:rsid w:val="00BA3A50"/>
    <w:rsid w:val="00BA5D28"/>
    <w:rsid w:val="00BC6EA1"/>
    <w:rsid w:val="00BF17FA"/>
    <w:rsid w:val="00C13769"/>
    <w:rsid w:val="00C566ED"/>
    <w:rsid w:val="00C930F7"/>
    <w:rsid w:val="00C973FA"/>
    <w:rsid w:val="00C97923"/>
    <w:rsid w:val="00D306FF"/>
    <w:rsid w:val="00D4046E"/>
    <w:rsid w:val="00D62762"/>
    <w:rsid w:val="00D65CEA"/>
    <w:rsid w:val="00D6733E"/>
    <w:rsid w:val="00D76BFA"/>
    <w:rsid w:val="00D84863"/>
    <w:rsid w:val="00DB52EB"/>
    <w:rsid w:val="00DC4000"/>
    <w:rsid w:val="00DE4122"/>
    <w:rsid w:val="00E02B49"/>
    <w:rsid w:val="00E20954"/>
    <w:rsid w:val="00E24AD6"/>
    <w:rsid w:val="00E746A8"/>
    <w:rsid w:val="00E77091"/>
    <w:rsid w:val="00E95273"/>
    <w:rsid w:val="00EB0298"/>
    <w:rsid w:val="00EC04FF"/>
    <w:rsid w:val="00EC4D54"/>
    <w:rsid w:val="00EE47F7"/>
    <w:rsid w:val="00EF0934"/>
    <w:rsid w:val="00EF18AB"/>
    <w:rsid w:val="00F1085F"/>
    <w:rsid w:val="00F16788"/>
    <w:rsid w:val="00F379D1"/>
    <w:rsid w:val="00F6372A"/>
    <w:rsid w:val="00F8407F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5B4E8"/>
  <w15:docId w15:val="{BB63942D-F132-4C76-A74F-7D12DC5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6068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6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BC6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7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produkty/pocet-obyvatel-v-obcich-rlm0s92pw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zaloha_mas\public\IROP\IROP%20II\V&#253;zvy%20ofici&#225;ln&#237;\01_v&#253;zva_Z&#352;\irop@masposumavi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73vyzvair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c9be213-8e18-4302-b1c9-f65a009e644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DC1AE-C938-465B-996E-2579D4AA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Filip Unzeitig</cp:lastModifiedBy>
  <cp:revision>17</cp:revision>
  <dcterms:created xsi:type="dcterms:W3CDTF">2026-01-22T09:47:00Z</dcterms:created>
  <dcterms:modified xsi:type="dcterms:W3CDTF">2026-02-25T13:49:00Z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