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5FA3" w14:textId="47D9718B" w:rsidR="00753A4C" w:rsidRDefault="009E5351" w:rsidP="00A06BAD">
      <w:pPr>
        <w:pStyle w:val="Nadpis1"/>
      </w:pPr>
      <w:r>
        <w:t>Příloha č.2</w:t>
      </w:r>
    </w:p>
    <w:p w14:paraId="626D63CC" w14:textId="290DC2D7" w:rsidR="00A06BAD" w:rsidRPr="00A06BAD" w:rsidRDefault="00E11A15" w:rsidP="007D61C6">
      <w:pPr>
        <w:pStyle w:val="Nadpis2"/>
      </w:pPr>
      <w:r>
        <w:t>Kritéria věcného hodnocení</w:t>
      </w:r>
      <w:r w:rsidR="00753A4C">
        <w:t xml:space="preserve">: </w:t>
      </w:r>
      <w:r w:rsidR="00753A4C">
        <w:br/>
      </w:r>
      <w:r w:rsidR="009E5351" w:rsidRPr="002A59A7">
        <w:rPr>
          <w:rStyle w:val="Nadpis1Char"/>
          <w:b/>
        </w:rPr>
        <w:t xml:space="preserve">MAS Pošumaví – IROP – </w:t>
      </w:r>
      <w:r w:rsidR="00265901">
        <w:rPr>
          <w:rStyle w:val="Nadpis1Char"/>
          <w:b/>
        </w:rPr>
        <w:t>Požární</w:t>
      </w:r>
      <w:r w:rsidR="009E5351" w:rsidRPr="002A59A7">
        <w:rPr>
          <w:rStyle w:val="Nadpis1Char"/>
          <w:b/>
        </w:rPr>
        <w:t xml:space="preserve"> z</w:t>
      </w:r>
      <w:r w:rsidR="002A59A7" w:rsidRPr="002A59A7">
        <w:rPr>
          <w:rStyle w:val="Nadpis1Char"/>
          <w:b/>
        </w:rPr>
        <w:t>b</w:t>
      </w:r>
      <w:r w:rsidR="009E5351" w:rsidRPr="002A59A7">
        <w:rPr>
          <w:rStyle w:val="Nadpis1Char"/>
          <w:b/>
        </w:rPr>
        <w:t>rojnice</w:t>
      </w:r>
      <w:r w:rsidR="00632B0A" w:rsidRPr="00A06BAD">
        <w:rPr>
          <w:sz w:val="10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9"/>
        <w:gridCol w:w="3392"/>
        <w:gridCol w:w="1010"/>
        <w:gridCol w:w="3327"/>
        <w:gridCol w:w="3310"/>
      </w:tblGrid>
      <w:tr w:rsidR="00753A4C" w14:paraId="6F13ED01" w14:textId="77777777" w:rsidTr="005B182F">
        <w:trPr>
          <w:trHeight w:val="486"/>
        </w:trPr>
        <w:tc>
          <w:tcPr>
            <w:tcW w:w="14418" w:type="dxa"/>
            <w:gridSpan w:val="5"/>
            <w:shd w:val="clear" w:color="auto" w:fill="BFBFBF" w:themeFill="background1" w:themeFillShade="BF"/>
            <w:vAlign w:val="center"/>
          </w:tcPr>
          <w:p w14:paraId="25EB25A1" w14:textId="77777777" w:rsidR="00753A4C" w:rsidRPr="00B3214A" w:rsidRDefault="00753A4C" w:rsidP="005B182F">
            <w:pPr>
              <w:jc w:val="center"/>
              <w:rPr>
                <w:b/>
                <w:sz w:val="24"/>
              </w:rPr>
            </w:pPr>
            <w:r w:rsidRPr="00B3214A">
              <w:rPr>
                <w:b/>
                <w:sz w:val="24"/>
              </w:rPr>
              <w:t>Kritéria věcného hodnocení</w:t>
            </w:r>
          </w:p>
          <w:p w14:paraId="490F67F5" w14:textId="77777777" w:rsidR="00753A4C" w:rsidRDefault="00753A4C" w:rsidP="005B182F">
            <w:pPr>
              <w:jc w:val="center"/>
              <w:rPr>
                <w:b/>
                <w:sz w:val="24"/>
              </w:rPr>
            </w:pPr>
            <w:r w:rsidRPr="00DA1BBA">
              <w:rPr>
                <w:sz w:val="18"/>
              </w:rPr>
              <w:t>(aktivita - Stanice IZS)</w:t>
            </w:r>
          </w:p>
        </w:tc>
      </w:tr>
      <w:tr w:rsidR="00753A4C" w14:paraId="069181C3" w14:textId="77777777" w:rsidTr="00753A4C">
        <w:trPr>
          <w:trHeight w:val="237"/>
        </w:trPr>
        <w:tc>
          <w:tcPr>
            <w:tcW w:w="3379" w:type="dxa"/>
            <w:shd w:val="clear" w:color="auto" w:fill="E7E6E6" w:themeFill="background2"/>
            <w:vAlign w:val="center"/>
          </w:tcPr>
          <w:p w14:paraId="6A7838BF" w14:textId="77777777" w:rsidR="00753A4C" w:rsidRPr="00632B0A" w:rsidRDefault="00753A4C" w:rsidP="005B182F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3392" w:type="dxa"/>
            <w:shd w:val="clear" w:color="auto" w:fill="E7E6E6" w:themeFill="background2"/>
            <w:vAlign w:val="center"/>
          </w:tcPr>
          <w:p w14:paraId="2125DB1E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Hodnocení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14:paraId="4453DEAC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Maximální počet bodů</w:t>
            </w:r>
          </w:p>
        </w:tc>
        <w:tc>
          <w:tcPr>
            <w:tcW w:w="3327" w:type="dxa"/>
            <w:shd w:val="clear" w:color="auto" w:fill="E7E6E6" w:themeFill="background2"/>
            <w:vAlign w:val="center"/>
          </w:tcPr>
          <w:p w14:paraId="60923EFB" w14:textId="77777777" w:rsidR="00753A4C" w:rsidRPr="00632B0A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Zdroj informací</w:t>
            </w:r>
          </w:p>
        </w:tc>
        <w:tc>
          <w:tcPr>
            <w:tcW w:w="3310" w:type="dxa"/>
            <w:shd w:val="clear" w:color="auto" w:fill="E7E6E6" w:themeFill="background2"/>
            <w:vAlign w:val="center"/>
          </w:tcPr>
          <w:p w14:paraId="6586FC7F" w14:textId="77777777" w:rsidR="00753A4C" w:rsidRDefault="00753A4C" w:rsidP="005B1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Způsob hodnocení</w:t>
            </w:r>
          </w:p>
        </w:tc>
      </w:tr>
      <w:tr w:rsidR="00753A4C" w14:paraId="7D95AC3E" w14:textId="77777777" w:rsidTr="007D61C6">
        <w:trPr>
          <w:trHeight w:val="1395"/>
        </w:trPr>
        <w:tc>
          <w:tcPr>
            <w:tcW w:w="3379" w:type="dxa"/>
            <w:vAlign w:val="center"/>
          </w:tcPr>
          <w:p w14:paraId="172BBF5A" w14:textId="77777777" w:rsidR="00753A4C" w:rsidRPr="00FF6FD4" w:rsidRDefault="00753A4C" w:rsidP="005B182F">
            <w:pPr>
              <w:rPr>
                <w:b/>
                <w:sz w:val="18"/>
                <w:szCs w:val="18"/>
              </w:rPr>
            </w:pPr>
            <w:bookmarkStart w:id="0" w:name="_GoBack"/>
            <w:r w:rsidRPr="00FF6FD4">
              <w:rPr>
                <w:b/>
                <w:sz w:val="18"/>
                <w:szCs w:val="18"/>
              </w:rPr>
              <w:t>Počet obyvatel v</w:t>
            </w:r>
            <w:r>
              <w:rPr>
                <w:b/>
                <w:sz w:val="18"/>
                <w:szCs w:val="18"/>
              </w:rPr>
              <w:t> </w:t>
            </w:r>
            <w:r w:rsidRPr="00FF6FD4">
              <w:rPr>
                <w:b/>
                <w:sz w:val="18"/>
                <w:szCs w:val="18"/>
              </w:rPr>
              <w:t>obci</w:t>
            </w:r>
            <w:r>
              <w:rPr>
                <w:b/>
                <w:sz w:val="18"/>
                <w:szCs w:val="18"/>
              </w:rPr>
              <w:t>, ve které je projekt realizován</w:t>
            </w:r>
            <w:bookmarkEnd w:id="0"/>
          </w:p>
        </w:tc>
        <w:tc>
          <w:tcPr>
            <w:tcW w:w="3392" w:type="dxa"/>
            <w:vAlign w:val="center"/>
          </w:tcPr>
          <w:p w14:paraId="0458AB4D" w14:textId="3493E917" w:rsidR="00753A4C" w:rsidRDefault="00753A4C" w:rsidP="005B18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287913">
              <w:rPr>
                <w:rFonts w:cstheme="minorHAnsi"/>
                <w:sz w:val="18"/>
                <w:szCs w:val="18"/>
              </w:rPr>
              <w:t xml:space="preserve">0 bodů – projekt je realizován v obci do </w:t>
            </w:r>
            <w:r w:rsidR="00D7701D">
              <w:rPr>
                <w:rFonts w:cstheme="minorHAnsi"/>
                <w:sz w:val="18"/>
                <w:szCs w:val="18"/>
              </w:rPr>
              <w:t>20</w:t>
            </w:r>
            <w:r w:rsidRPr="00287913">
              <w:rPr>
                <w:rFonts w:cstheme="minorHAnsi"/>
                <w:sz w:val="18"/>
                <w:szCs w:val="18"/>
              </w:rPr>
              <w:t>00 obyvatel</w:t>
            </w:r>
          </w:p>
          <w:p w14:paraId="026CC738" w14:textId="329ED2E1" w:rsidR="00753A4C" w:rsidRPr="00004FEA" w:rsidRDefault="00753A4C" w:rsidP="00D7701D">
            <w:pPr>
              <w:rPr>
                <w:rFonts w:cstheme="minorHAnsi"/>
                <w:sz w:val="6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</w:r>
            <w:r w:rsidR="002A59A7">
              <w:rPr>
                <w:rFonts w:cstheme="minorHAnsi"/>
                <w:sz w:val="18"/>
                <w:szCs w:val="18"/>
              </w:rPr>
              <w:t>5</w:t>
            </w:r>
            <w:r w:rsidRPr="00287913">
              <w:rPr>
                <w:rFonts w:cstheme="minorHAnsi"/>
                <w:sz w:val="18"/>
                <w:szCs w:val="18"/>
              </w:rPr>
              <w:t xml:space="preserve"> bodů – projekt je realizován v obci </w:t>
            </w:r>
            <w:r w:rsidR="00D7701D">
              <w:rPr>
                <w:rFonts w:cstheme="minorHAnsi"/>
                <w:sz w:val="18"/>
                <w:szCs w:val="18"/>
              </w:rPr>
              <w:t>s počtem obyvatel</w:t>
            </w:r>
            <w:r w:rsidRPr="00287913">
              <w:rPr>
                <w:rFonts w:cstheme="minorHAnsi"/>
                <w:sz w:val="18"/>
                <w:szCs w:val="18"/>
              </w:rPr>
              <w:t xml:space="preserve"> </w:t>
            </w:r>
            <w:r w:rsidR="00D7701D">
              <w:rPr>
                <w:rFonts w:cstheme="minorHAnsi"/>
                <w:sz w:val="18"/>
                <w:szCs w:val="18"/>
              </w:rPr>
              <w:t>2</w:t>
            </w:r>
            <w:r w:rsidRPr="00287913">
              <w:rPr>
                <w:rFonts w:cstheme="minorHAnsi"/>
                <w:sz w:val="18"/>
                <w:szCs w:val="18"/>
              </w:rPr>
              <w:t xml:space="preserve">.000 </w:t>
            </w:r>
            <w:r w:rsidR="00D7701D">
              <w:rPr>
                <w:rFonts w:cstheme="minorHAnsi"/>
                <w:sz w:val="18"/>
                <w:szCs w:val="18"/>
              </w:rPr>
              <w:t>a více</w:t>
            </w:r>
          </w:p>
        </w:tc>
        <w:tc>
          <w:tcPr>
            <w:tcW w:w="1010" w:type="dxa"/>
            <w:vAlign w:val="center"/>
          </w:tcPr>
          <w:p w14:paraId="22235CC1" w14:textId="77777777" w:rsidR="00753A4C" w:rsidRPr="00287913" w:rsidRDefault="00753A4C" w:rsidP="005B1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7913">
              <w:rPr>
                <w:sz w:val="18"/>
                <w:szCs w:val="18"/>
              </w:rPr>
              <w:t>0</w:t>
            </w:r>
          </w:p>
        </w:tc>
        <w:tc>
          <w:tcPr>
            <w:tcW w:w="3327" w:type="dxa"/>
            <w:vAlign w:val="center"/>
          </w:tcPr>
          <w:p w14:paraId="5BB1DC30" w14:textId="77777777" w:rsidR="005D0DC9" w:rsidRDefault="005D0DC9" w:rsidP="005D0DC9">
            <w:pPr>
              <w:pStyle w:val="Odstavecseseznamem"/>
              <w:ind w:left="319"/>
              <w:rPr>
                <w:sz w:val="18"/>
                <w:szCs w:val="18"/>
              </w:rPr>
            </w:pPr>
          </w:p>
          <w:p w14:paraId="5DE97BE1" w14:textId="61425EEC" w:rsidR="005D0DC9" w:rsidRDefault="00753A4C" w:rsidP="005D0DC9">
            <w:pPr>
              <w:pStyle w:val="Odstavecseseznamem"/>
              <w:numPr>
                <w:ilvl w:val="0"/>
                <w:numId w:val="4"/>
              </w:numPr>
              <w:ind w:left="319" w:hanging="283"/>
              <w:rPr>
                <w:sz w:val="18"/>
                <w:szCs w:val="18"/>
              </w:rPr>
            </w:pPr>
            <w:r w:rsidRPr="00D74D93">
              <w:rPr>
                <w:sz w:val="18"/>
                <w:szCs w:val="18"/>
              </w:rPr>
              <w:t>Žádost o podporu</w:t>
            </w:r>
            <w:r w:rsidR="005D0DC9">
              <w:rPr>
                <w:sz w:val="18"/>
                <w:szCs w:val="18"/>
              </w:rPr>
              <w:br/>
            </w:r>
          </w:p>
          <w:p w14:paraId="7DCBD883" w14:textId="44BEE6C7" w:rsidR="00753A4C" w:rsidRPr="005D0DC9" w:rsidRDefault="00753A4C" w:rsidP="005D0DC9">
            <w:pPr>
              <w:pStyle w:val="Odstavecseseznamem"/>
              <w:numPr>
                <w:ilvl w:val="0"/>
                <w:numId w:val="4"/>
              </w:numPr>
              <w:ind w:left="319" w:hanging="283"/>
              <w:rPr>
                <w:sz w:val="18"/>
                <w:szCs w:val="18"/>
              </w:rPr>
            </w:pPr>
            <w:r w:rsidRPr="005D0DC9">
              <w:rPr>
                <w:sz w:val="18"/>
                <w:szCs w:val="18"/>
              </w:rPr>
              <w:t>Statistické údaje k 1.1.201</w:t>
            </w:r>
            <w:r w:rsidR="005D0DC9" w:rsidRPr="005D0DC9">
              <w:rPr>
                <w:sz w:val="18"/>
                <w:szCs w:val="18"/>
              </w:rPr>
              <w:t>7</w:t>
            </w:r>
            <w:r w:rsidRPr="005D0DC9">
              <w:rPr>
                <w:sz w:val="18"/>
                <w:szCs w:val="18"/>
              </w:rPr>
              <w:t xml:space="preserve"> </w:t>
            </w:r>
            <w:r w:rsidRPr="005D0DC9">
              <w:rPr>
                <w:sz w:val="18"/>
                <w:szCs w:val="18"/>
              </w:rPr>
              <w:br/>
            </w:r>
            <w:hyperlink r:id="rId5" w:history="1">
              <w:r w:rsidR="005D0DC9" w:rsidRPr="003D3867">
                <w:rPr>
                  <w:rStyle w:val="Hypertextovodkaz"/>
                  <w:sz w:val="18"/>
                  <w:szCs w:val="18"/>
                </w:rPr>
                <w:t>https://www.czso.cz/csu/czso/pocet-obyvatel-v-obcich</w:t>
              </w:r>
            </w:hyperlink>
          </w:p>
          <w:p w14:paraId="69755193" w14:textId="257B1470" w:rsidR="005D0DC9" w:rsidRPr="00287913" w:rsidRDefault="005D0DC9" w:rsidP="005D0DC9">
            <w:pPr>
              <w:pStyle w:val="Odstavecseseznamem"/>
              <w:rPr>
                <w:sz w:val="18"/>
                <w:szCs w:val="18"/>
              </w:rPr>
            </w:pPr>
          </w:p>
        </w:tc>
        <w:tc>
          <w:tcPr>
            <w:tcW w:w="3310" w:type="dxa"/>
            <w:vAlign w:val="center"/>
          </w:tcPr>
          <w:p w14:paraId="54C751B0" w14:textId="06413173" w:rsidR="00753A4C" w:rsidRPr="00287913" w:rsidRDefault="00753A4C" w:rsidP="005B182F">
            <w:pPr>
              <w:rPr>
                <w:sz w:val="18"/>
                <w:szCs w:val="18"/>
              </w:rPr>
            </w:pPr>
            <w:r w:rsidRPr="00287913">
              <w:rPr>
                <w:sz w:val="18"/>
                <w:szCs w:val="18"/>
              </w:rPr>
              <w:t>Posuzuje se velikost obce k 1.1.201</w:t>
            </w:r>
            <w:r w:rsidR="00286B8A">
              <w:rPr>
                <w:sz w:val="18"/>
                <w:szCs w:val="18"/>
              </w:rPr>
              <w:t>7</w:t>
            </w:r>
            <w:r w:rsidRPr="00287913">
              <w:rPr>
                <w:sz w:val="18"/>
                <w:szCs w:val="18"/>
              </w:rPr>
              <w:t xml:space="preserve">. </w:t>
            </w:r>
          </w:p>
        </w:tc>
      </w:tr>
      <w:tr w:rsidR="00753A4C" w14:paraId="383E8C63" w14:textId="77777777" w:rsidTr="0094470F">
        <w:trPr>
          <w:trHeight w:val="4082"/>
        </w:trPr>
        <w:tc>
          <w:tcPr>
            <w:tcW w:w="3379" w:type="dxa"/>
            <w:vAlign w:val="center"/>
          </w:tcPr>
          <w:p w14:paraId="71FDC885" w14:textId="2D5AC370" w:rsidR="00753A4C" w:rsidRPr="00B3214A" w:rsidRDefault="00753A4C" w:rsidP="005B182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Stav stávající požární zbrojnice</w:t>
            </w:r>
          </w:p>
        </w:tc>
        <w:tc>
          <w:tcPr>
            <w:tcW w:w="3392" w:type="dxa"/>
            <w:vAlign w:val="center"/>
          </w:tcPr>
          <w:p w14:paraId="05C03790" w14:textId="5BC58EEE" w:rsidR="00FB0F8F" w:rsidRDefault="00E11A15" w:rsidP="005B18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753A4C">
              <w:rPr>
                <w:rFonts w:cstheme="minorHAnsi"/>
                <w:sz w:val="18"/>
                <w:szCs w:val="18"/>
              </w:rPr>
              <w:t xml:space="preserve"> bodů – nevyhovuje umístění techniky podle přílohy č.4 k </w:t>
            </w:r>
            <w:proofErr w:type="spellStart"/>
            <w:r w:rsidR="00753A4C">
              <w:rPr>
                <w:rFonts w:cstheme="minorHAnsi"/>
                <w:sz w:val="18"/>
                <w:szCs w:val="18"/>
              </w:rPr>
              <w:t>vyhl</w:t>
            </w:r>
            <w:proofErr w:type="spellEnd"/>
            <w:r w:rsidR="00753A4C">
              <w:rPr>
                <w:rFonts w:cstheme="minorHAnsi"/>
                <w:sz w:val="18"/>
                <w:szCs w:val="18"/>
              </w:rPr>
              <w:t xml:space="preserve">. </w:t>
            </w:r>
            <w:r w:rsidR="00FB0F8F">
              <w:rPr>
                <w:rFonts w:cstheme="minorHAnsi"/>
                <w:sz w:val="18"/>
                <w:szCs w:val="18"/>
              </w:rPr>
              <w:t>č</w:t>
            </w:r>
            <w:r w:rsidR="00753A4C">
              <w:rPr>
                <w:rFonts w:cstheme="minorHAnsi"/>
                <w:sz w:val="18"/>
                <w:szCs w:val="18"/>
              </w:rPr>
              <w:t>. 247/2001Sb.</w:t>
            </w:r>
            <w:r w:rsidR="00082B67">
              <w:rPr>
                <w:rFonts w:cstheme="minorHAnsi"/>
                <w:sz w:val="18"/>
                <w:szCs w:val="18"/>
              </w:rPr>
              <w:t xml:space="preserve"> a </w:t>
            </w:r>
            <w:r w:rsidR="007D61C6">
              <w:rPr>
                <w:rFonts w:cstheme="minorHAnsi"/>
                <w:sz w:val="18"/>
                <w:szCs w:val="18"/>
              </w:rPr>
              <w:t xml:space="preserve">projekt </w:t>
            </w:r>
            <w:r w:rsidR="00082B67">
              <w:rPr>
                <w:rFonts w:cstheme="minorHAnsi"/>
                <w:sz w:val="18"/>
                <w:szCs w:val="18"/>
              </w:rPr>
              <w:t xml:space="preserve">se zároveň </w:t>
            </w:r>
            <w:r w:rsidR="007D61C6">
              <w:rPr>
                <w:rFonts w:cstheme="minorHAnsi"/>
                <w:sz w:val="18"/>
                <w:szCs w:val="18"/>
              </w:rPr>
              <w:t>zaměřuje na napravení tohoto nevyhovujícího stavu</w:t>
            </w:r>
          </w:p>
          <w:p w14:paraId="005F4DA7" w14:textId="77777777" w:rsidR="00753A4C" w:rsidRDefault="00753A4C" w:rsidP="005B182F">
            <w:pPr>
              <w:rPr>
                <w:rFonts w:cstheme="minorHAnsi"/>
                <w:sz w:val="18"/>
                <w:szCs w:val="18"/>
              </w:rPr>
            </w:pPr>
          </w:p>
          <w:p w14:paraId="6332B444" w14:textId="514AB82E" w:rsidR="00753A4C" w:rsidRDefault="00753A4C" w:rsidP="005B18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bodů – vnitřní prostory </w:t>
            </w:r>
            <w:r w:rsidR="002A59A7">
              <w:rPr>
                <w:rFonts w:cstheme="minorHAnsi"/>
                <w:sz w:val="18"/>
                <w:szCs w:val="18"/>
              </w:rPr>
              <w:t xml:space="preserve">stávající zbrojnice </w:t>
            </w:r>
            <w:r>
              <w:rPr>
                <w:rFonts w:cstheme="minorHAnsi"/>
                <w:sz w:val="18"/>
                <w:szCs w:val="18"/>
              </w:rPr>
              <w:t>nejsou v souladu s ČSN 735710</w:t>
            </w:r>
            <w:r w:rsidR="00FB0F8F">
              <w:rPr>
                <w:rFonts w:cstheme="minorHAnsi"/>
                <w:sz w:val="18"/>
                <w:szCs w:val="18"/>
              </w:rPr>
              <w:t xml:space="preserve"> </w:t>
            </w:r>
            <w:r w:rsidR="007D61C6">
              <w:rPr>
                <w:rFonts w:cstheme="minorHAnsi"/>
                <w:sz w:val="18"/>
                <w:szCs w:val="18"/>
              </w:rPr>
              <w:t xml:space="preserve">a </w:t>
            </w:r>
            <w:r w:rsidR="00082B67">
              <w:rPr>
                <w:rFonts w:cstheme="minorHAnsi"/>
                <w:sz w:val="18"/>
                <w:szCs w:val="18"/>
              </w:rPr>
              <w:t xml:space="preserve">projekt se zároveň </w:t>
            </w:r>
            <w:r w:rsidR="007D61C6">
              <w:rPr>
                <w:rFonts w:cstheme="minorHAnsi"/>
                <w:sz w:val="18"/>
                <w:szCs w:val="18"/>
              </w:rPr>
              <w:t>zaměřuje na napravení tohoto nevyhovujícího stavu</w:t>
            </w:r>
          </w:p>
          <w:p w14:paraId="2B3A822D" w14:textId="77777777" w:rsidR="00753A4C" w:rsidRDefault="00753A4C" w:rsidP="005B182F">
            <w:pPr>
              <w:rPr>
                <w:rFonts w:cstheme="minorHAnsi"/>
                <w:sz w:val="18"/>
                <w:szCs w:val="18"/>
              </w:rPr>
            </w:pPr>
          </w:p>
          <w:p w14:paraId="7EA0C8AB" w14:textId="0F4EC111" w:rsidR="007D61C6" w:rsidRPr="002A59A7" w:rsidRDefault="00753A4C" w:rsidP="005B182F">
            <w:pPr>
              <w:rPr>
                <w:rFonts w:cstheme="minorHAnsi"/>
                <w:sz w:val="18"/>
                <w:szCs w:val="18"/>
              </w:rPr>
            </w:pPr>
            <w:r w:rsidRPr="002A59A7">
              <w:rPr>
                <w:rFonts w:cstheme="minorHAnsi"/>
                <w:sz w:val="18"/>
                <w:szCs w:val="18"/>
              </w:rPr>
              <w:t xml:space="preserve">0 bodů – </w:t>
            </w:r>
            <w:r w:rsidR="002A59A7" w:rsidRPr="002A59A7">
              <w:rPr>
                <w:rFonts w:cstheme="minorHAnsi"/>
                <w:sz w:val="18"/>
                <w:szCs w:val="18"/>
              </w:rPr>
              <w:t xml:space="preserve">požární zbrojnice </w:t>
            </w:r>
            <w:r w:rsidR="00FB0F8F">
              <w:rPr>
                <w:rFonts w:cstheme="minorHAnsi"/>
                <w:sz w:val="18"/>
                <w:szCs w:val="18"/>
              </w:rPr>
              <w:t>vyhovuje umístění techniky podle přílohy č.4 k </w:t>
            </w:r>
            <w:proofErr w:type="spellStart"/>
            <w:r w:rsidR="00FB0F8F">
              <w:rPr>
                <w:rFonts w:cstheme="minorHAnsi"/>
                <w:sz w:val="18"/>
                <w:szCs w:val="18"/>
              </w:rPr>
              <w:t>vyhl</w:t>
            </w:r>
            <w:proofErr w:type="spellEnd"/>
            <w:r w:rsidR="00FB0F8F">
              <w:rPr>
                <w:rFonts w:cstheme="minorHAnsi"/>
                <w:sz w:val="18"/>
                <w:szCs w:val="18"/>
              </w:rPr>
              <w:t>. č.247/2001Sb. a vnitřní prostory jsou v souladu s ČSN 735710</w:t>
            </w:r>
            <w:r w:rsidR="00D90FCD">
              <w:rPr>
                <w:rFonts w:cstheme="minorHAnsi"/>
                <w:sz w:val="18"/>
                <w:szCs w:val="18"/>
              </w:rPr>
              <w:t xml:space="preserve"> anebo hlavní aktivity</w:t>
            </w:r>
            <w:r w:rsidR="007D61C6">
              <w:rPr>
                <w:rFonts w:cstheme="minorHAnsi"/>
                <w:sz w:val="18"/>
                <w:szCs w:val="18"/>
              </w:rPr>
              <w:t xml:space="preserve"> projektu nejsou zaměřeny na odstranění nevyhovuj</w:t>
            </w:r>
            <w:r w:rsidR="00BB0FF7">
              <w:rPr>
                <w:rFonts w:cstheme="minorHAnsi"/>
                <w:sz w:val="18"/>
                <w:szCs w:val="18"/>
              </w:rPr>
              <w:t>ícího stavu stávající zbrojnice</w:t>
            </w:r>
          </w:p>
        </w:tc>
        <w:tc>
          <w:tcPr>
            <w:tcW w:w="1010" w:type="dxa"/>
            <w:vAlign w:val="center"/>
          </w:tcPr>
          <w:p w14:paraId="793F3D88" w14:textId="77777777" w:rsidR="00753A4C" w:rsidRDefault="00753A4C" w:rsidP="005B1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27" w:type="dxa"/>
            <w:vAlign w:val="center"/>
          </w:tcPr>
          <w:p w14:paraId="62A96A8D" w14:textId="5A3F8242" w:rsidR="00082B67" w:rsidRDefault="00082B67" w:rsidP="005B182F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51750D05" w14:textId="01704CC4" w:rsidR="00EF4281" w:rsidRDefault="00EF4281" w:rsidP="005B182F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dotaci</w:t>
            </w:r>
          </w:p>
          <w:p w14:paraId="38AFA9C9" w14:textId="77777777" w:rsidR="00753A4C" w:rsidRDefault="00753A4C" w:rsidP="005B182F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Vyhláška č. 247/2001Sb.</w:t>
            </w:r>
          </w:p>
          <w:p w14:paraId="4611546B" w14:textId="77777777" w:rsidR="00753A4C" w:rsidRPr="00A8146D" w:rsidRDefault="00753A4C" w:rsidP="005B182F">
            <w:pPr>
              <w:pStyle w:val="Odstavecseseznamem"/>
              <w:numPr>
                <w:ilvl w:val="0"/>
                <w:numId w:val="4"/>
              </w:numPr>
              <w:ind w:left="313" w:hanging="28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ČSN 735710</w:t>
            </w:r>
          </w:p>
        </w:tc>
        <w:tc>
          <w:tcPr>
            <w:tcW w:w="3310" w:type="dxa"/>
            <w:vAlign w:val="center"/>
          </w:tcPr>
          <w:p w14:paraId="7F5FA8EA" w14:textId="501B48F8" w:rsidR="00EF4281" w:rsidRDefault="00D67220" w:rsidP="005B182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Posouzení stávajícího stavu se provádí na základě údajů, které žadatel uvedl</w:t>
            </w:r>
            <w:r w:rsidR="00EF4281">
              <w:rPr>
                <w:rFonts w:cstheme="minorHAnsi"/>
                <w:sz w:val="18"/>
              </w:rPr>
              <w:t xml:space="preserve"> ve Studii proveditelnosti, pro hodnocení tohoto kritéria </w:t>
            </w:r>
            <w:r w:rsidR="00C415F2">
              <w:rPr>
                <w:rFonts w:cstheme="minorHAnsi"/>
                <w:sz w:val="18"/>
              </w:rPr>
              <w:t>musí být uveden</w:t>
            </w:r>
            <w:r w:rsidR="00EF4281">
              <w:rPr>
                <w:rFonts w:cstheme="minorHAnsi"/>
                <w:sz w:val="18"/>
              </w:rPr>
              <w:t xml:space="preserve"> popis stávajícího stavu, fotodokumentac</w:t>
            </w:r>
            <w:r w:rsidR="00C415F2">
              <w:rPr>
                <w:rFonts w:cstheme="minorHAnsi"/>
                <w:sz w:val="18"/>
              </w:rPr>
              <w:t>e</w:t>
            </w:r>
            <w:r w:rsidR="00EF4281">
              <w:rPr>
                <w:rFonts w:cstheme="minorHAnsi"/>
                <w:sz w:val="18"/>
              </w:rPr>
              <w:t xml:space="preserve">, popř. pasport stavby. </w:t>
            </w:r>
            <w:r w:rsidR="00C415F2">
              <w:rPr>
                <w:rFonts w:cstheme="minorHAnsi"/>
                <w:sz w:val="18"/>
              </w:rPr>
              <w:t xml:space="preserve">Pro získání bodů musí být </w:t>
            </w:r>
            <w:r w:rsidR="00EF4281" w:rsidRPr="00EF4281">
              <w:rPr>
                <w:rFonts w:cstheme="minorHAnsi"/>
                <w:sz w:val="18"/>
              </w:rPr>
              <w:t>uvedeno, ve kterých bodech normy nebo přílohy vyhlášky je stávající stav nevyhovující</w:t>
            </w:r>
            <w:r w:rsidR="00EF4281">
              <w:rPr>
                <w:rFonts w:cstheme="minorHAnsi"/>
                <w:sz w:val="18"/>
              </w:rPr>
              <w:t>.</w:t>
            </w:r>
          </w:p>
          <w:p w14:paraId="21E062E4" w14:textId="01894AF1" w:rsidR="00FB0F8F" w:rsidRPr="0048266F" w:rsidRDefault="00EF4281" w:rsidP="005B182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br/>
            </w:r>
            <w:r w:rsidR="00D67220">
              <w:rPr>
                <w:rFonts w:cstheme="minorHAnsi"/>
                <w:sz w:val="18"/>
              </w:rPr>
              <w:t>Zaměření projektu na nápravu nevyh</w:t>
            </w:r>
            <w:r w:rsidR="00C4551B">
              <w:rPr>
                <w:rFonts w:cstheme="minorHAnsi"/>
                <w:sz w:val="18"/>
              </w:rPr>
              <w:t xml:space="preserve">ovujícího stavu se posuzuje dle </w:t>
            </w:r>
            <w:r>
              <w:rPr>
                <w:rFonts w:cstheme="minorHAnsi"/>
                <w:sz w:val="18"/>
              </w:rPr>
              <w:t>Ž</w:t>
            </w:r>
            <w:r w:rsidR="00C4551B">
              <w:rPr>
                <w:rFonts w:cstheme="minorHAnsi"/>
                <w:sz w:val="18"/>
              </w:rPr>
              <w:t>ádosti o</w:t>
            </w:r>
            <w:r w:rsidR="00D67220">
              <w:rPr>
                <w:rFonts w:cstheme="minorHAnsi"/>
                <w:sz w:val="18"/>
              </w:rPr>
              <w:t xml:space="preserve"> dotaci a Studi</w:t>
            </w:r>
            <w:r w:rsidR="00C4551B">
              <w:rPr>
                <w:rFonts w:cstheme="minorHAnsi"/>
                <w:sz w:val="18"/>
              </w:rPr>
              <w:t>e</w:t>
            </w:r>
            <w:r w:rsidR="00D67220">
              <w:rPr>
                <w:rFonts w:cstheme="minorHAnsi"/>
                <w:sz w:val="18"/>
              </w:rPr>
              <w:t xml:space="preserve"> proveditelnosti.</w:t>
            </w:r>
          </w:p>
        </w:tc>
      </w:tr>
      <w:tr w:rsidR="00753A4C" w:rsidRPr="00FD64B6" w14:paraId="01907B78" w14:textId="77777777" w:rsidTr="005B182F">
        <w:trPr>
          <w:trHeight w:val="773"/>
        </w:trPr>
        <w:tc>
          <w:tcPr>
            <w:tcW w:w="14418" w:type="dxa"/>
            <w:gridSpan w:val="5"/>
            <w:vAlign w:val="center"/>
          </w:tcPr>
          <w:p w14:paraId="529C7759" w14:textId="77777777" w:rsidR="00753A4C" w:rsidRPr="00110A55" w:rsidRDefault="00753A4C" w:rsidP="005B182F">
            <w:pPr>
              <w:tabs>
                <w:tab w:val="left" w:pos="3124"/>
              </w:tabs>
              <w:rPr>
                <w:rFonts w:cstheme="minorHAnsi"/>
                <w:sz w:val="20"/>
              </w:rPr>
            </w:pPr>
            <w:r w:rsidRPr="00110A55">
              <w:rPr>
                <w:rFonts w:cstheme="minorHAnsi"/>
                <w:sz w:val="20"/>
              </w:rPr>
              <w:t xml:space="preserve">Maximální počet bodů: </w:t>
            </w:r>
            <w:r w:rsidRPr="00286135">
              <w:rPr>
                <w:rFonts w:cstheme="minorHAnsi"/>
                <w:b/>
                <w:sz w:val="20"/>
              </w:rPr>
              <w:t>30</w:t>
            </w:r>
            <w:r w:rsidRPr="00110A55">
              <w:rPr>
                <w:rFonts w:cstheme="minorHAnsi"/>
                <w:b/>
                <w:sz w:val="20"/>
              </w:rPr>
              <w:t xml:space="preserve"> bodů</w:t>
            </w:r>
          </w:p>
          <w:p w14:paraId="579B72D0" w14:textId="77777777" w:rsidR="00753A4C" w:rsidRPr="001F2F87" w:rsidRDefault="00753A4C" w:rsidP="005B182F">
            <w:pPr>
              <w:tabs>
                <w:tab w:val="left" w:pos="3124"/>
              </w:tabs>
              <w:rPr>
                <w:rFonts w:cstheme="minorHAnsi"/>
                <w:sz w:val="18"/>
              </w:rPr>
            </w:pPr>
            <w:r w:rsidRPr="00110A55">
              <w:rPr>
                <w:rFonts w:cstheme="minorHAnsi"/>
                <w:sz w:val="20"/>
              </w:rPr>
              <w:t>Minimální</w:t>
            </w:r>
            <w:r>
              <w:rPr>
                <w:rFonts w:cstheme="minorHAnsi"/>
                <w:sz w:val="20"/>
              </w:rPr>
              <w:t xml:space="preserve"> bodová hranice: </w:t>
            </w:r>
            <w:r>
              <w:rPr>
                <w:rFonts w:cstheme="minorHAnsi"/>
                <w:b/>
                <w:sz w:val="20"/>
              </w:rPr>
              <w:t>15</w:t>
            </w:r>
            <w:r w:rsidRPr="00110A55">
              <w:rPr>
                <w:rFonts w:cstheme="minorHAnsi"/>
                <w:b/>
                <w:sz w:val="20"/>
              </w:rPr>
              <w:t xml:space="preserve"> bodů</w:t>
            </w:r>
          </w:p>
        </w:tc>
      </w:tr>
    </w:tbl>
    <w:p w14:paraId="4793C6FB" w14:textId="77777777" w:rsidR="005224D9" w:rsidRDefault="005224D9" w:rsidP="00EF4281"/>
    <w:sectPr w:rsidR="005224D9" w:rsidSect="00EF4281">
      <w:pgSz w:w="16838" w:h="11906" w:orient="landscape"/>
      <w:pgMar w:top="851" w:right="99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53"/>
    <w:rsid w:val="00046C2D"/>
    <w:rsid w:val="000477AF"/>
    <w:rsid w:val="00082B67"/>
    <w:rsid w:val="000B7FAF"/>
    <w:rsid w:val="000E3D08"/>
    <w:rsid w:val="000E5551"/>
    <w:rsid w:val="00113A0E"/>
    <w:rsid w:val="00136B80"/>
    <w:rsid w:val="00156B5C"/>
    <w:rsid w:val="00164528"/>
    <w:rsid w:val="00165B65"/>
    <w:rsid w:val="00173AF0"/>
    <w:rsid w:val="0018038E"/>
    <w:rsid w:val="00186D0E"/>
    <w:rsid w:val="00193958"/>
    <w:rsid w:val="001B15AF"/>
    <w:rsid w:val="001B3DA7"/>
    <w:rsid w:val="001B5102"/>
    <w:rsid w:val="001C6405"/>
    <w:rsid w:val="001C6D82"/>
    <w:rsid w:val="001F2F87"/>
    <w:rsid w:val="00265901"/>
    <w:rsid w:val="00286B8A"/>
    <w:rsid w:val="002A59A7"/>
    <w:rsid w:val="002D4591"/>
    <w:rsid w:val="002D4B48"/>
    <w:rsid w:val="002E6FE7"/>
    <w:rsid w:val="00300098"/>
    <w:rsid w:val="003022F1"/>
    <w:rsid w:val="00307027"/>
    <w:rsid w:val="00355781"/>
    <w:rsid w:val="003641E0"/>
    <w:rsid w:val="00367D56"/>
    <w:rsid w:val="00370401"/>
    <w:rsid w:val="003B3FA7"/>
    <w:rsid w:val="003B64A1"/>
    <w:rsid w:val="003C1A43"/>
    <w:rsid w:val="00406053"/>
    <w:rsid w:val="00427C23"/>
    <w:rsid w:val="004319BD"/>
    <w:rsid w:val="004330C0"/>
    <w:rsid w:val="0048266F"/>
    <w:rsid w:val="004F2CC0"/>
    <w:rsid w:val="005224D9"/>
    <w:rsid w:val="00561F72"/>
    <w:rsid w:val="00590C60"/>
    <w:rsid w:val="00592B54"/>
    <w:rsid w:val="005D0DC9"/>
    <w:rsid w:val="005F2C3D"/>
    <w:rsid w:val="006202BD"/>
    <w:rsid w:val="006251FF"/>
    <w:rsid w:val="00632B0A"/>
    <w:rsid w:val="00637DA9"/>
    <w:rsid w:val="0065288E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DE2"/>
    <w:rsid w:val="006F4A16"/>
    <w:rsid w:val="00702D52"/>
    <w:rsid w:val="0072469E"/>
    <w:rsid w:val="0072656B"/>
    <w:rsid w:val="00741D11"/>
    <w:rsid w:val="007515CC"/>
    <w:rsid w:val="00753A4C"/>
    <w:rsid w:val="007B1053"/>
    <w:rsid w:val="007C57BF"/>
    <w:rsid w:val="007D48A6"/>
    <w:rsid w:val="007D61C6"/>
    <w:rsid w:val="00807F1D"/>
    <w:rsid w:val="00820987"/>
    <w:rsid w:val="00822CD2"/>
    <w:rsid w:val="0084028E"/>
    <w:rsid w:val="00850D69"/>
    <w:rsid w:val="008A7BAF"/>
    <w:rsid w:val="008B587A"/>
    <w:rsid w:val="008C59F0"/>
    <w:rsid w:val="008E4E0D"/>
    <w:rsid w:val="008F5DF7"/>
    <w:rsid w:val="00922B6E"/>
    <w:rsid w:val="00932F6B"/>
    <w:rsid w:val="0094470F"/>
    <w:rsid w:val="00987645"/>
    <w:rsid w:val="009B7C35"/>
    <w:rsid w:val="009C16EF"/>
    <w:rsid w:val="009E5351"/>
    <w:rsid w:val="00A06BAD"/>
    <w:rsid w:val="00A155F4"/>
    <w:rsid w:val="00A3235C"/>
    <w:rsid w:val="00A527EC"/>
    <w:rsid w:val="00A537B8"/>
    <w:rsid w:val="00AA768D"/>
    <w:rsid w:val="00AB4F95"/>
    <w:rsid w:val="00B34F73"/>
    <w:rsid w:val="00B402CF"/>
    <w:rsid w:val="00B43013"/>
    <w:rsid w:val="00B51727"/>
    <w:rsid w:val="00B82953"/>
    <w:rsid w:val="00B91CB8"/>
    <w:rsid w:val="00BA4AD6"/>
    <w:rsid w:val="00BB0FF7"/>
    <w:rsid w:val="00C22786"/>
    <w:rsid w:val="00C415F2"/>
    <w:rsid w:val="00C4551B"/>
    <w:rsid w:val="00C75DF5"/>
    <w:rsid w:val="00CC2D0B"/>
    <w:rsid w:val="00CE33AC"/>
    <w:rsid w:val="00CE3F24"/>
    <w:rsid w:val="00CE7F9E"/>
    <w:rsid w:val="00D61C5C"/>
    <w:rsid w:val="00D67220"/>
    <w:rsid w:val="00D7014B"/>
    <w:rsid w:val="00D76CB3"/>
    <w:rsid w:val="00D7701D"/>
    <w:rsid w:val="00D90FCD"/>
    <w:rsid w:val="00DD2270"/>
    <w:rsid w:val="00DF69C8"/>
    <w:rsid w:val="00E11A15"/>
    <w:rsid w:val="00E15347"/>
    <w:rsid w:val="00E22715"/>
    <w:rsid w:val="00E30626"/>
    <w:rsid w:val="00E65D0F"/>
    <w:rsid w:val="00E813C2"/>
    <w:rsid w:val="00E9379C"/>
    <w:rsid w:val="00ED6B4F"/>
    <w:rsid w:val="00EF4281"/>
    <w:rsid w:val="00F0798F"/>
    <w:rsid w:val="00F3413A"/>
    <w:rsid w:val="00F56F22"/>
    <w:rsid w:val="00FA3299"/>
    <w:rsid w:val="00FB0F8F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01281D42-8533-4184-B702-E2620161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D0D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0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pocet-obyvatel-v-obc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35</cp:revision>
  <cp:lastPrinted>2017-03-22T10:51:00Z</cp:lastPrinted>
  <dcterms:created xsi:type="dcterms:W3CDTF">2017-03-22T10:41:00Z</dcterms:created>
  <dcterms:modified xsi:type="dcterms:W3CDTF">2017-07-22T09:51:00Z</dcterms:modified>
</cp:coreProperties>
</file>